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56728">
      <w:pPr>
        <w:pStyle w:val="3"/>
        <w:spacing w:before="156" w:beforeLines="50" w:after="156" w:afterLines="50" w:line="600"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眼科视光中心项目</w:t>
      </w:r>
      <w:r>
        <w:rPr>
          <w:rFonts w:hint="eastAsia" w:ascii="方正小标宋_GBK" w:hAnsi="方正小标宋_GBK" w:eastAsia="方正小标宋_GBK" w:cs="方正小标宋_GBK"/>
          <w:sz w:val="44"/>
          <w:szCs w:val="44"/>
          <w:lang w:eastAsia="zh-CN"/>
        </w:rPr>
        <w:t>需求</w:t>
      </w:r>
    </w:p>
    <w:p w14:paraId="44824DD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一、项目技术参数</w:t>
      </w:r>
    </w:p>
    <w:p w14:paraId="7084A24B">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（一）项目概况</w:t>
      </w:r>
    </w:p>
    <w:p w14:paraId="02BF5A36">
      <w:pPr>
        <w:spacing w:line="600" w:lineRule="exact"/>
        <w:ind w:firstLine="640" w:firstLineChars="200"/>
        <w:rPr>
          <w:rFonts w:ascii="方正仿宋_GBK" w:hAnsi="方正仿宋_GBK" w:eastAsia="方正仿宋_GBK" w:cs="方正仿宋_GBK"/>
          <w:b/>
          <w:bCs/>
          <w:sz w:val="32"/>
          <w:szCs w:val="32"/>
        </w:rPr>
      </w:pPr>
      <w:r>
        <w:rPr>
          <w:rFonts w:hint="eastAsia" w:ascii="方正仿宋_GBK" w:hAnsi="方正仿宋_GBK" w:eastAsia="方正仿宋_GBK" w:cs="方正仿宋_GBK"/>
          <w:sz w:val="32"/>
          <w:szCs w:val="32"/>
        </w:rPr>
        <w:t>为积极响应《重庆市综合防控儿童青少年近视实施方案》的要求，填补区域近视防控技术空白。现重庆市大足区人民医院眼科拟增设眼视光中心，通过项目建设，促进医院眼科业务能力的提升，配齐近视防控诊断-检查-干预闭环，打造临床-科研-防控三位一体的眼健康枢纽，以满足广大患者的需求，提升大足区人民医院的区域眼健康服务能力。</w:t>
      </w:r>
    </w:p>
    <w:p w14:paraId="382D404C">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（二）合作模式</w:t>
      </w:r>
    </w:p>
    <w:p w14:paraId="7696757C">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本项目由医院方提供场地，供应商牵头建设“眼科眼视光项目”。供应商主要提供以下服务：</w:t>
      </w: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.视光中心的经营管理；</w:t>
      </w: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视光中心相关设施设备的投入；</w:t>
      </w: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.眼科专家的协调安排；</w:t>
      </w: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.技术人员的培训指导；</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各类视光耗材铺货；</w:t>
      </w:r>
      <w:r>
        <w:rPr>
          <w:rFonts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框架眼镜及角膜接触镜等产品的验配和销售；</w:t>
      </w:r>
      <w:r>
        <w:rPr>
          <w:rFonts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产品质保及售后的处理；</w:t>
      </w:r>
      <w:r>
        <w:rPr>
          <w:rFonts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校园筛查或眼健康科普等工作的开展。</w:t>
      </w:r>
    </w:p>
    <w:p w14:paraId="27D5D622">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（三）合作单位资质要求</w:t>
      </w:r>
    </w:p>
    <w:p w14:paraId="1BF424E1">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提供有效年检的营业执照（副本复印件），且</w:t>
      </w:r>
      <w:r>
        <w:rPr>
          <w:rFonts w:hint="eastAsia" w:ascii="方正仿宋_GBK" w:hAnsi="方正仿宋_GBK" w:eastAsia="方正仿宋_GBK" w:cs="方正仿宋_GBK"/>
          <w:sz w:val="32"/>
          <w:szCs w:val="32"/>
          <w:lang w:val="zh-CN"/>
        </w:rPr>
        <w:t>经营范围应至少具备：眼视光服务相关内容和资质，同时具备三类医疗器械经营许可证</w:t>
      </w:r>
      <w:r>
        <w:rPr>
          <w:rFonts w:hint="eastAsia" w:ascii="方正仿宋_GBK" w:hAnsi="方正仿宋_GBK" w:eastAsia="方正仿宋_GBK" w:cs="方正仿宋_GBK"/>
          <w:sz w:val="32"/>
          <w:szCs w:val="32"/>
        </w:rPr>
        <w:t>；</w:t>
      </w:r>
    </w:p>
    <w:p w14:paraId="201A62F0">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法定代表人身份授权书,法定代表人与授权代表身份证复印件；</w:t>
      </w:r>
    </w:p>
    <w:p w14:paraId="023938D4">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具有良好的商业信誉和健全的财务会计制度（提供承诺函）；</w:t>
      </w:r>
    </w:p>
    <w:p w14:paraId="4E5225C9">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.具有履行合同所必需的设备和专业技术能力（提供承诺函）；</w:t>
      </w:r>
    </w:p>
    <w:p w14:paraId="60E6609B">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.有依法缴纳税收和社会保障资金的良好记录（提供承诺函）；</w:t>
      </w:r>
    </w:p>
    <w:p w14:paraId="39A361C5">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w:t>
      </w:r>
      <w:bookmarkStart w:id="0" w:name="OLE_LINK1"/>
      <w:bookmarkStart w:id="1" w:name="OLE_LINK2"/>
      <w:r>
        <w:rPr>
          <w:rFonts w:hint="eastAsia" w:ascii="方正仿宋_GBK" w:hAnsi="方正仿宋_GBK" w:eastAsia="方正仿宋_GBK" w:cs="方正仿宋_GBK"/>
          <w:sz w:val="32"/>
          <w:szCs w:val="32"/>
        </w:rPr>
        <w:t>按照《财政部关于在政府采购活动中查询及使用信用记录有关问题的通知》（财库</w:t>
      </w:r>
      <w:r>
        <w:rPr>
          <w:rFonts w:ascii="Times New Roman" w:hAnsi="Times New Roman" w:eastAsia="方正仿宋_GBK" w:cs="Times New Roman"/>
          <w:sz w:val="32"/>
          <w:szCs w:val="32"/>
        </w:rPr>
        <w:t>〔2016〕125</w:t>
      </w:r>
      <w:r>
        <w:rPr>
          <w:rFonts w:hint="eastAsia" w:ascii="方正仿宋_GBK" w:hAnsi="方正仿宋_GBK" w:eastAsia="方正仿宋_GBK" w:cs="方正仿宋_GBK"/>
          <w:sz w:val="32"/>
          <w:szCs w:val="32"/>
        </w:rPr>
        <w:t>号），被列入失信被执行人、重大税收违法案件当事人名单、政府采购严重违法失信行为记录名单及其他不符合《中华人民共和国政府采购法》第二十二条规定条件的</w:t>
      </w:r>
      <w:bookmarkEnd w:id="0"/>
      <w:bookmarkEnd w:id="1"/>
      <w:r>
        <w:rPr>
          <w:rFonts w:hint="eastAsia" w:ascii="方正仿宋_GBK" w:hAnsi="方正仿宋_GBK" w:eastAsia="方正仿宋_GBK" w:cs="方正仿宋_GBK"/>
          <w:sz w:val="32"/>
          <w:szCs w:val="32"/>
        </w:rPr>
        <w:t>参选单位，将拒绝其参与遴选。</w:t>
      </w:r>
    </w:p>
    <w:p w14:paraId="4EE9AFE1">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.近三年内，参选单位未在经营活动中因违法行为受到刑事处罚、处以罚款或者没收财产</w:t>
      </w:r>
      <w:r>
        <w:rPr>
          <w:rFonts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万元以上、责令停产停业、吊销许可证或者执照等行政处罚（提供承诺函）；</w:t>
      </w:r>
    </w:p>
    <w:p w14:paraId="6C276A1A">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.反商业贿赂承诺书；</w:t>
      </w:r>
    </w:p>
    <w:p w14:paraId="65F73FF0">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9</w:t>
      </w:r>
      <w:r>
        <w:rPr>
          <w:rFonts w:hint="eastAsia" w:ascii="方正仿宋_GBK" w:hAnsi="方正仿宋_GBK" w:eastAsia="方正仿宋_GBK" w:cs="方正仿宋_GBK"/>
          <w:sz w:val="32"/>
          <w:szCs w:val="32"/>
        </w:rPr>
        <w:t>.参选单位遵守遴选纪律承诺书（提供承诺函）；</w:t>
      </w:r>
    </w:p>
    <w:p w14:paraId="702E5871">
      <w:pPr>
        <w:spacing w:line="600" w:lineRule="exact"/>
        <w:ind w:firstLine="640" w:firstLineChars="200"/>
        <w:rPr>
          <w:rFonts w:ascii="方正仿宋_GBK" w:hAnsi="方正仿宋_GBK" w:eastAsia="方正仿宋_GBK" w:cs="方正仿宋_GBK"/>
          <w:sz w:val="32"/>
          <w:szCs w:val="32"/>
          <w:lang w:val="zh-CN"/>
        </w:rPr>
      </w:pPr>
      <w:r>
        <w:rPr>
          <w:rFonts w:ascii="Times New Roman" w:hAnsi="Times New Roman" w:eastAsia="方正仿宋_GBK" w:cs="Times New Roman"/>
          <w:sz w:val="32"/>
          <w:szCs w:val="32"/>
        </w:rPr>
        <w:t>10</w:t>
      </w:r>
      <w:r>
        <w:rPr>
          <w:rFonts w:hint="eastAsia" w:ascii="方正仿宋_GBK" w:hAnsi="方正仿宋_GBK" w:eastAsia="方正仿宋_GBK" w:cs="方正仿宋_GBK"/>
          <w:sz w:val="32"/>
          <w:szCs w:val="32"/>
        </w:rPr>
        <w:t>.参与单位</w:t>
      </w:r>
      <w:r>
        <w:rPr>
          <w:rFonts w:hint="eastAsia" w:ascii="方正仿宋_GBK" w:hAnsi="方正仿宋_GBK" w:eastAsia="方正仿宋_GBK" w:cs="方正仿宋_GBK"/>
          <w:sz w:val="32"/>
          <w:szCs w:val="32"/>
          <w:lang w:val="zh-CN"/>
        </w:rPr>
        <w:t>须具有自</w:t>
      </w:r>
      <w:r>
        <w:rPr>
          <w:rFonts w:ascii="Times New Roman" w:hAnsi="Times New Roman" w:eastAsia="方正仿宋_GBK" w:cs="Times New Roman"/>
          <w:sz w:val="32"/>
          <w:szCs w:val="32"/>
          <w:lang w:val="zh-CN"/>
        </w:rPr>
        <w:t>2024</w:t>
      </w:r>
      <w:r>
        <w:rPr>
          <w:rFonts w:hint="eastAsia" w:ascii="方正仿宋_GBK" w:hAnsi="方正仿宋_GBK" w:eastAsia="方正仿宋_GBK" w:cs="方正仿宋_GBK"/>
          <w:sz w:val="32"/>
          <w:szCs w:val="32"/>
          <w:lang w:val="zh-CN"/>
        </w:rPr>
        <w:t>年</w:t>
      </w:r>
      <w:r>
        <w:rPr>
          <w:rFonts w:ascii="Times New Roman" w:hAnsi="Times New Roman" w:eastAsia="方正仿宋_GBK" w:cs="Times New Roman"/>
          <w:sz w:val="32"/>
          <w:szCs w:val="32"/>
          <w:lang w:val="zh-CN"/>
        </w:rPr>
        <w:t>1</w:t>
      </w:r>
      <w:r>
        <w:rPr>
          <w:rFonts w:hint="eastAsia" w:ascii="方正仿宋_GBK" w:hAnsi="方正仿宋_GBK" w:eastAsia="方正仿宋_GBK" w:cs="方正仿宋_GBK"/>
          <w:sz w:val="32"/>
          <w:szCs w:val="32"/>
          <w:lang w:val="zh-CN"/>
        </w:rPr>
        <w:t>月</w:t>
      </w:r>
      <w:r>
        <w:rPr>
          <w:rFonts w:ascii="Times New Roman" w:hAnsi="Times New Roman" w:eastAsia="方正仿宋_GBK" w:cs="Times New Roman"/>
          <w:sz w:val="32"/>
          <w:szCs w:val="32"/>
          <w:lang w:val="zh-CN"/>
        </w:rPr>
        <w:t>1</w:t>
      </w:r>
      <w:r>
        <w:rPr>
          <w:rFonts w:hint="eastAsia" w:ascii="方正仿宋_GBK" w:hAnsi="方正仿宋_GBK" w:eastAsia="方正仿宋_GBK" w:cs="方正仿宋_GBK"/>
          <w:sz w:val="32"/>
          <w:szCs w:val="32"/>
          <w:lang w:val="zh-CN"/>
        </w:rPr>
        <w:t>日以来（以合同签订时间为准），至少</w:t>
      </w:r>
      <w:r>
        <w:rPr>
          <w:rFonts w:hint="eastAsia" w:ascii="方正仿宋_GBK" w:hAnsi="方正仿宋_GBK" w:eastAsia="方正仿宋_GBK" w:cs="方正仿宋_GBK"/>
          <w:sz w:val="32"/>
          <w:szCs w:val="32"/>
        </w:rPr>
        <w:t>提供</w:t>
      </w:r>
      <w:r>
        <w:rPr>
          <w:rFonts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个类似公立单位合作</w:t>
      </w:r>
      <w:r>
        <w:rPr>
          <w:rFonts w:hint="eastAsia" w:ascii="方正仿宋_GBK" w:hAnsi="方正仿宋_GBK" w:eastAsia="方正仿宋_GBK" w:cs="方正仿宋_GBK"/>
          <w:sz w:val="32"/>
          <w:szCs w:val="32"/>
          <w:lang w:val="zh-CN"/>
        </w:rPr>
        <w:t>项目（</w:t>
      </w:r>
      <w:r>
        <w:rPr>
          <w:rFonts w:hint="eastAsia" w:ascii="方正仿宋_GBK" w:hAnsi="方正仿宋_GBK" w:eastAsia="方正仿宋_GBK" w:cs="方正仿宋_GBK"/>
          <w:sz w:val="32"/>
          <w:szCs w:val="32"/>
        </w:rPr>
        <w:t>提供业绩合同</w:t>
      </w:r>
      <w:r>
        <w:rPr>
          <w:rFonts w:hint="eastAsia" w:ascii="方正仿宋_GBK" w:hAnsi="方正仿宋_GBK" w:eastAsia="方正仿宋_GBK" w:cs="方正仿宋_GBK"/>
          <w:sz w:val="32"/>
          <w:szCs w:val="32"/>
          <w:lang w:val="zh-CN"/>
        </w:rPr>
        <w:t>）。</w:t>
      </w:r>
    </w:p>
    <w:p w14:paraId="5A94DB90">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cs="Times New Roman"/>
          <w:sz w:val="32"/>
          <w:szCs w:val="32"/>
        </w:rPr>
        <w:t>11.</w:t>
      </w:r>
      <w:r>
        <w:rPr>
          <w:rFonts w:hint="eastAsia" w:ascii="方正仿宋_GBK" w:hAnsi="方正仿宋_GBK" w:eastAsia="方正仿宋_GBK" w:cs="方正仿宋_GBK"/>
          <w:sz w:val="32"/>
          <w:szCs w:val="32"/>
        </w:rPr>
        <w:t>本项目不接受联合体投标，且不允许分包或转包。</w:t>
      </w:r>
    </w:p>
    <w:p w14:paraId="3DDB0F00">
      <w:pPr>
        <w:pStyle w:val="9"/>
        <w:spacing w:line="600" w:lineRule="exact"/>
        <w:ind w:firstLine="640" w:firstLineChars="200"/>
        <w:rPr>
          <w:rFonts w:ascii="方正仿宋_GBK" w:hAnsi="方正仿宋_GBK" w:eastAsia="方正仿宋_GBK" w:cs="方正仿宋_GBK"/>
          <w:color w:val="auto"/>
          <w:sz w:val="32"/>
          <w:szCs w:val="32"/>
        </w:rPr>
      </w:pPr>
      <w:r>
        <w:rPr>
          <w:rFonts w:ascii="Times New Roman" w:hAnsi="Times New Roman" w:eastAsia="方正仿宋_GBK" w:cs="Times New Roman"/>
          <w:color w:val="auto"/>
          <w:kern w:val="2"/>
          <w:sz w:val="32"/>
          <w:szCs w:val="32"/>
        </w:rPr>
        <w:t>12</w:t>
      </w:r>
      <w:r>
        <w:rPr>
          <w:rFonts w:ascii="Times New Roman" w:hAnsi="Times New Roman" w:eastAsia="方正仿宋_GBK" w:cs="Times New Roman"/>
          <w:color w:val="auto"/>
          <w:sz w:val="32"/>
          <w:szCs w:val="32"/>
        </w:rPr>
        <w:t>.</w:t>
      </w:r>
      <w:r>
        <w:rPr>
          <w:rFonts w:hint="eastAsia" w:ascii="方正仿宋_GBK" w:hAnsi="方正仿宋_GBK" w:eastAsia="方正仿宋_GBK" w:cs="方正仿宋_GBK"/>
          <w:color w:val="auto"/>
          <w:sz w:val="32"/>
          <w:szCs w:val="32"/>
        </w:rPr>
        <w:t>中标人应在中标通知书发出之日起</w:t>
      </w:r>
      <w:r>
        <w:rPr>
          <w:rFonts w:ascii="Times New Roman" w:hAnsi="Times New Roman" w:eastAsia="方正仿宋_GBK" w:cs="Times New Roman"/>
          <w:color w:val="auto"/>
          <w:kern w:val="2"/>
          <w:sz w:val="32"/>
          <w:szCs w:val="32"/>
        </w:rPr>
        <w:t>30</w:t>
      </w:r>
      <w:r>
        <w:rPr>
          <w:rFonts w:hint="eastAsia" w:ascii="方正仿宋_GBK" w:hAnsi="方正仿宋_GBK" w:eastAsia="方正仿宋_GBK" w:cs="方正仿宋_GBK"/>
          <w:color w:val="auto"/>
          <w:sz w:val="32"/>
          <w:szCs w:val="32"/>
        </w:rPr>
        <w:t>日内，在重庆市大足区设立全资或控股项目公司。项目公司应承接中标人在本项目中的全部权利和义务（包括但不限于项目、建设、运维、结算）。</w:t>
      </w:r>
    </w:p>
    <w:p w14:paraId="77B496B1">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（四）技术服务要求</w:t>
      </w:r>
    </w:p>
    <w:p w14:paraId="18AC608A">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合作模式：</w:t>
      </w:r>
    </w:p>
    <w:p w14:paraId="4E2AE89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由招标人提供使用场地房屋、办公、互联网网络、展柜展架、场地装修等设施。招标人负责协助供应商在大足区依法办理工商注册、税务登记、三类医疗器械经营许可证等手续；若供应商在当地设立分公司需招标人出具使用场地房屋证明、房屋产权证明等相关手续证明，招标人积极配合提供。</w:t>
      </w:r>
    </w:p>
    <w:p w14:paraId="2603114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供应商提供人员、设备、技术、各类视光耗材及眼健康产品铺货；统一负责配镜业务的经营、管理和完成招标人的院内验光及视觉训练，招标人有权监督供应商合法合规经营。</w:t>
      </w:r>
    </w:p>
    <w:p w14:paraId="4A4E3D26">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）本项目销售额应对双方透明，供应商应向招标人开通销售系统账号，供招标人实时了解营收情况，且供应商不得隐瞒销售总额。</w:t>
      </w:r>
    </w:p>
    <w:p w14:paraId="3C74FC6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）未经供应商书面同意，招标人不得与任意第三方开展包括但不限于框架、硬镜、眼健康产品等视光相关业务的合作。若招标人有意开展相关业务，则双方另行协商。协商不成的，应按原协议执行。</w:t>
      </w:r>
    </w:p>
    <w:p w14:paraId="5BE39B5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）本项目由成交供应商自主经营、自负盈亏、独立核算，经营过程中发生的债权、债务与招标人无关。在经营过程中产生的法律风险均由供应商自行承担。</w:t>
      </w:r>
    </w:p>
    <w:p w14:paraId="58F79C87">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（6）</w:t>
      </w:r>
      <w:r>
        <w:rPr>
          <w:rFonts w:hint="eastAsia" w:ascii="方正仿宋_GBK" w:hAnsi="方正仿宋_GBK" w:eastAsia="方正仿宋_GBK" w:cs="方正仿宋_GBK"/>
          <w:sz w:val="32"/>
          <w:szCs w:val="32"/>
        </w:rPr>
        <w:t>在合作期间，为维护双方利益，未经招标人书面同意，供应商不得将协议规定的点位转包，转租，分租，转借给第三方，否则视为供应商违约，招标人有权终止合作。</w:t>
      </w:r>
    </w:p>
    <w:p w14:paraId="35542336">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（7）</w:t>
      </w:r>
      <w:r>
        <w:rPr>
          <w:rFonts w:hint="eastAsia" w:ascii="方正仿宋_GBK" w:hAnsi="方正仿宋_GBK" w:eastAsia="方正仿宋_GBK" w:cs="方正仿宋_GBK"/>
          <w:sz w:val="32"/>
          <w:szCs w:val="32"/>
        </w:rPr>
        <w:t>本项目所有商品的进销存管理，均由供应商依法依规实行统一经营和管理，商品最终所有权归属供应商所有。</w:t>
      </w:r>
    </w:p>
    <w:p w14:paraId="1F4C45FA">
      <w:pPr>
        <w:spacing w:line="600" w:lineRule="exact"/>
        <w:ind w:firstLine="640" w:firstLineChars="200"/>
        <w:rPr>
          <w:rFonts w:hint="eastAsia" w:ascii="方正仿宋_GBK" w:hAnsi="方正仿宋_GBK" w:eastAsia="方正仿宋_GBK" w:cs="方正仿宋_GBK"/>
          <w:sz w:val="32"/>
          <w:szCs w:val="32"/>
        </w:rPr>
      </w:pPr>
      <w:r>
        <w:rPr>
          <w:rFonts w:hint="eastAsia" w:ascii="Times New Roman" w:hAnsi="Times New Roman" w:eastAsia="方正仿宋_GBK" w:cs="Times New Roman"/>
          <w:sz w:val="32"/>
          <w:szCs w:val="32"/>
        </w:rPr>
        <w:t>（8）</w:t>
      </w:r>
      <w:r>
        <w:rPr>
          <w:rFonts w:hint="eastAsia" w:ascii="方正仿宋_GBK" w:hAnsi="方正仿宋_GBK" w:eastAsia="方正仿宋_GBK" w:cs="方正仿宋_GBK"/>
          <w:sz w:val="32"/>
          <w:szCs w:val="32"/>
        </w:rPr>
        <w:t>合作期间，为确保业务正常开展供应商需提供以下设备（视力表、电脑验光仪、综合验光仪、焦度计、裂隙灯、光学生物测量仪、角膜地形图）及不低于4名工作人员（节假日在岗人员保证不低于2人），并根据业务量适时增配相应设备及人员。</w:t>
      </w:r>
    </w:p>
    <w:p w14:paraId="3B728892">
      <w:pPr>
        <w:pStyle w:val="19"/>
        <w:keepNext w:val="0"/>
        <w:keepLines w:val="0"/>
        <w:pageBreakBefore w:val="0"/>
        <w:widowControl w:val="0"/>
        <w:tabs>
          <w:tab w:val="left" w:pos="312"/>
        </w:tabs>
        <w:kinsoku/>
        <w:wordWrap/>
        <w:overflowPunct/>
        <w:topLinePunct w:val="0"/>
        <w:autoSpaceDE/>
        <w:autoSpaceDN/>
        <w:bidi w:val="0"/>
        <w:adjustRightInd/>
        <w:snapToGrid/>
        <w:spacing w:line="360" w:lineRule="auto"/>
        <w:ind w:firstLine="640" w:firstLineChars="200"/>
        <w:jc w:val="left"/>
        <w:textAlignment w:val="auto"/>
      </w:pPr>
      <w:r>
        <w:rPr>
          <w:rFonts w:hint="eastAsia" w:ascii="Times New Roman" w:hAnsi="Times New Roman" w:eastAsia="方正仿宋_GBK" w:cs="Times New Roman"/>
          <w:kern w:val="2"/>
          <w:sz w:val="32"/>
          <w:szCs w:val="32"/>
          <w:lang w:val="en-US" w:eastAsia="zh-CN" w:bidi="ar-SA"/>
        </w:rPr>
        <w:t>（9）投标人经营范围内应至少具备：眼视光服务相关内容和资质（提供营业执照复印件）。</w:t>
      </w:r>
      <w:bookmarkStart w:id="2" w:name="_GoBack"/>
      <w:bookmarkEnd w:id="2"/>
    </w:p>
    <w:p w14:paraId="4E2D22B2">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.服务内容：</w:t>
      </w:r>
    </w:p>
    <w:p w14:paraId="716E5D09">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服务内容主要包括：</w:t>
      </w:r>
    </w:p>
    <w:p w14:paraId="6EEC2A76">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①</w:t>
      </w:r>
      <w:r>
        <w:rPr>
          <w:rFonts w:hint="eastAsia" w:ascii="方正仿宋_GBK" w:hAnsi="方正仿宋_GBK" w:eastAsia="方正仿宋_GBK" w:cs="方正仿宋_GBK"/>
          <w:sz w:val="32"/>
          <w:szCs w:val="32"/>
        </w:rPr>
        <w:t>专家支持：每月至少安排</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次眼科专家到院坐诊、手术和带教，协助眼科开展眼底、斜视相关手术，促进眼科专业水平和科研能力的提升。</w:t>
      </w:r>
    </w:p>
    <w:p w14:paraId="3DA598C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②框架眼镜：主要包括各类眼镜架、眼镜片的验配、销售和配戴指导。眼镜片需包含儿童青少年近视防控镜片。</w:t>
      </w:r>
    </w:p>
    <w:p w14:paraId="138AB31B">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③角膜接触镜：主要包括角膜塑形镜、</w:t>
      </w:r>
      <w:r>
        <w:rPr>
          <w:rFonts w:hint="eastAsia" w:ascii="Times New Roman" w:hAnsi="Times New Roman" w:eastAsia="方正仿宋_GBK" w:cs="Times New Roman"/>
          <w:sz w:val="32"/>
          <w:szCs w:val="32"/>
        </w:rPr>
        <w:t>RGP</w:t>
      </w:r>
      <w:r>
        <w:rPr>
          <w:rFonts w:hint="eastAsia" w:ascii="方正仿宋_GBK" w:hAnsi="方正仿宋_GBK" w:eastAsia="方正仿宋_GBK" w:cs="方正仿宋_GBK"/>
          <w:sz w:val="32"/>
          <w:szCs w:val="32"/>
        </w:rPr>
        <w:t>、软性角膜接触镜等的验配、销售和配戴指导。</w:t>
      </w:r>
    </w:p>
    <w:p w14:paraId="0A61C1D8">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④视光和眼健康附属产品：主要包括角膜接触镜护理产品、视觉训练工具、护眼产品等的销售和使用指导。</w:t>
      </w:r>
    </w:p>
    <w:p w14:paraId="362F5AC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⑤增值服务：包括青少年近视防控筛查，协助医院开展近视防控科普与公益项目、科普宣教、视力筛查、屈光档案建档等。</w:t>
      </w:r>
    </w:p>
    <w:p w14:paraId="40974302">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（2）上述售卖产品均应满足：</w:t>
      </w:r>
    </w:p>
    <w:p w14:paraId="5BBEB64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①须为国家质检合格产品。</w:t>
      </w:r>
    </w:p>
    <w:p w14:paraId="647C7D2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②售卖的镜架（包括儿童镜架）不少于 </w:t>
      </w:r>
      <w:r>
        <w:rPr>
          <w:rFonts w:hint="eastAsia" w:ascii="Times New Roman" w:hAnsi="Times New Roman" w:eastAsia="方正仿宋_GBK" w:cs="Times New Roman"/>
          <w:sz w:val="32"/>
          <w:szCs w:val="32"/>
        </w:rPr>
        <w:t xml:space="preserve">20 </w:t>
      </w:r>
      <w:r>
        <w:rPr>
          <w:rFonts w:hint="eastAsia" w:ascii="方正仿宋_GBK" w:hAnsi="方正仿宋_GBK" w:eastAsia="方正仿宋_GBK" w:cs="方正仿宋_GBK"/>
          <w:sz w:val="32"/>
          <w:szCs w:val="32"/>
        </w:rPr>
        <w:t>个品种。</w:t>
      </w:r>
    </w:p>
    <w:p w14:paraId="24D2F1C7">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③售卖的镜片不少于</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个以上品牌镜片。</w:t>
      </w:r>
    </w:p>
    <w:p w14:paraId="58FF9EF1">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④售卖的角膜接触镜和</w:t>
      </w:r>
      <w:r>
        <w:rPr>
          <w:rFonts w:hint="eastAsia" w:ascii="Times New Roman" w:hAnsi="Times New Roman" w:eastAsia="方正仿宋_GBK" w:cs="Times New Roman"/>
          <w:sz w:val="32"/>
          <w:szCs w:val="32"/>
        </w:rPr>
        <w:t>OK</w:t>
      </w:r>
      <w:r>
        <w:rPr>
          <w:rFonts w:hint="eastAsia" w:ascii="方正仿宋_GBK" w:hAnsi="方正仿宋_GBK" w:eastAsia="方正仿宋_GBK" w:cs="方正仿宋_GBK"/>
          <w:sz w:val="32"/>
          <w:szCs w:val="32"/>
        </w:rPr>
        <w:t>镜镜片护理和清洗液不少于</w:t>
      </w: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个品牌。</w:t>
      </w:r>
    </w:p>
    <w:p w14:paraId="28860AA9">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⑤售卖的所有产品的售价均不得高于本地区售价（包括但不限于产品品牌规定的本地区零售指导价、本地区同级别医院和视光配镜店的价格）。</w:t>
      </w:r>
    </w:p>
    <w:p w14:paraId="0C0F4304">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服务要求和服务质量：</w:t>
      </w:r>
    </w:p>
    <w:p w14:paraId="47BA0BA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1</w:t>
      </w:r>
      <w:r>
        <w:rPr>
          <w:rFonts w:hint="eastAsia" w:ascii="方正仿宋_GBK" w:hAnsi="方正仿宋_GBK" w:eastAsia="方正仿宋_GBK" w:cs="方正仿宋_GBK"/>
          <w:sz w:val="32"/>
          <w:szCs w:val="32"/>
        </w:rPr>
        <w:t>）提供框架眼镜、角膜接触镜等的验配服务</w:t>
      </w:r>
    </w:p>
    <w:p w14:paraId="4DFC9F7E">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2</w:t>
      </w:r>
      <w:r>
        <w:rPr>
          <w:rFonts w:hint="eastAsia" w:ascii="方正仿宋_GBK" w:hAnsi="方正仿宋_GBK" w:eastAsia="方正仿宋_GBK" w:cs="方正仿宋_GBK"/>
          <w:sz w:val="32"/>
          <w:szCs w:val="32"/>
        </w:rPr>
        <w:t>）成交供应商提供的产品须符合国家标准，货物质量出现问题，供应商应负责三包，费用由供应商承担。</w:t>
      </w:r>
    </w:p>
    <w:p w14:paraId="63B22263">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Times New Roman" w:hAnsi="Times New Roman" w:eastAsia="方正仿宋_GBK" w:cs="Times New Roman"/>
          <w:sz w:val="32"/>
          <w:szCs w:val="32"/>
        </w:rPr>
        <w:t>3</w:t>
      </w:r>
      <w:r>
        <w:rPr>
          <w:rFonts w:hint="eastAsia" w:ascii="方正仿宋_GBK" w:hAnsi="方正仿宋_GBK" w:eastAsia="方正仿宋_GBK" w:cs="方正仿宋_GBK"/>
          <w:sz w:val="32"/>
          <w:szCs w:val="32"/>
        </w:rPr>
        <w:t>）因供应商投放的产品引发的任何投诉、纠纷或伤害，均由供应商负责处理，如投放的产品为假冒伪劣产品，招标人有权终止合作并要求供应商承担因此给招标人造成的损失。</w:t>
      </w:r>
    </w:p>
    <w:p w14:paraId="386E6234">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4.</w:t>
      </w:r>
      <w:r>
        <w:rPr>
          <w:rFonts w:hint="eastAsia" w:ascii="方正仿宋_GBK" w:hAnsi="方正仿宋_GBK" w:eastAsia="方正仿宋_GBK" w:cs="方正仿宋_GBK"/>
          <w:sz w:val="32"/>
          <w:szCs w:val="32"/>
        </w:rPr>
        <w:t>报价要求</w:t>
      </w:r>
    </w:p>
    <w:p w14:paraId="5A30488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本项目供应商的报价（管理费率）不得低于项目收入的</w:t>
      </w:r>
      <w:r>
        <w:rPr>
          <w:rFonts w:hint="eastAsia" w:ascii="Times New Roman" w:hAnsi="Times New Roman" w:eastAsia="方正仿宋_GBK" w:cs="Times New Roman"/>
          <w:sz w:val="32"/>
          <w:szCs w:val="32"/>
        </w:rPr>
        <w:t>5.00%</w:t>
      </w:r>
      <w:r>
        <w:rPr>
          <w:rFonts w:hint="eastAsia" w:ascii="方正仿宋_GBK" w:hAnsi="方正仿宋_GBK" w:eastAsia="方正仿宋_GBK" w:cs="方正仿宋_GBK"/>
          <w:sz w:val="32"/>
          <w:szCs w:val="32"/>
        </w:rPr>
        <w:t>，不满足最低管理费费率的报价,其响应文件按无效处理。</w:t>
      </w:r>
    </w:p>
    <w:p w14:paraId="157E8D1D">
      <w:pPr>
        <w:spacing w:line="600" w:lineRule="exact"/>
        <w:ind w:firstLine="640" w:firstLineChars="200"/>
        <w:rPr>
          <w:rFonts w:ascii="方正仿宋_GBK" w:hAnsi="方正仿宋_GBK" w:eastAsia="方正仿宋_GBK" w:cs="方正仿宋_GBK"/>
          <w:sz w:val="32"/>
          <w:szCs w:val="32"/>
        </w:rPr>
      </w:pPr>
      <w:r>
        <w:rPr>
          <w:rFonts w:hint="eastAsia" w:ascii="Times New Roman" w:hAnsi="Times New Roman" w:eastAsia="方正仿宋_GBK" w:cs="Times New Roman"/>
          <w:sz w:val="32"/>
          <w:szCs w:val="32"/>
        </w:rPr>
        <w:t>5.</w:t>
      </w:r>
      <w:r>
        <w:rPr>
          <w:rFonts w:hint="eastAsia" w:ascii="方正仿宋_GBK" w:hAnsi="方正仿宋_GBK" w:eastAsia="方正仿宋_GBK" w:cs="方正仿宋_GBK"/>
          <w:sz w:val="32"/>
          <w:szCs w:val="32"/>
        </w:rPr>
        <w:t>商务要求</w:t>
      </w:r>
    </w:p>
    <w:tbl>
      <w:tblPr>
        <w:tblStyle w:val="14"/>
        <w:tblW w:w="9228"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91"/>
        <w:gridCol w:w="1876"/>
        <w:gridCol w:w="6761"/>
      </w:tblGrid>
      <w:tr w14:paraId="05223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 w:hRule="atLeast"/>
        </w:trPr>
        <w:tc>
          <w:tcPr>
            <w:tcW w:w="591" w:type="dxa"/>
            <w:tcBorders>
              <w:top w:val="single" w:color="000000" w:sz="10" w:space="0"/>
              <w:left w:val="single" w:color="000000" w:sz="10" w:space="0"/>
            </w:tcBorders>
            <w:vAlign w:val="center"/>
          </w:tcPr>
          <w:p w14:paraId="1F872DEB">
            <w:pPr>
              <w:pStyle w:val="13"/>
              <w:spacing w:line="360" w:lineRule="exact"/>
              <w:ind w:left="75"/>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9"/>
                <w:sz w:val="24"/>
                <w:szCs w:val="24"/>
              </w:rPr>
              <w:t>序号</w:t>
            </w:r>
          </w:p>
        </w:tc>
        <w:tc>
          <w:tcPr>
            <w:tcW w:w="1876" w:type="dxa"/>
            <w:tcBorders>
              <w:top w:val="single" w:color="000000" w:sz="10" w:space="0"/>
            </w:tcBorders>
            <w:vAlign w:val="center"/>
          </w:tcPr>
          <w:p w14:paraId="2AE0BC02">
            <w:pPr>
              <w:pStyle w:val="13"/>
              <w:spacing w:line="360" w:lineRule="exact"/>
              <w:ind w:left="745"/>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23"/>
                <w:sz w:val="24"/>
                <w:szCs w:val="24"/>
              </w:rPr>
              <w:t>内容</w:t>
            </w:r>
          </w:p>
        </w:tc>
        <w:tc>
          <w:tcPr>
            <w:tcW w:w="6761" w:type="dxa"/>
            <w:tcBorders>
              <w:top w:val="single" w:color="000000" w:sz="10" w:space="0"/>
              <w:right w:val="single" w:color="000000" w:sz="10" w:space="0"/>
            </w:tcBorders>
            <w:vAlign w:val="center"/>
          </w:tcPr>
          <w:p w14:paraId="49B2F70B">
            <w:pPr>
              <w:pStyle w:val="13"/>
              <w:spacing w:line="360" w:lineRule="exact"/>
              <w:ind w:left="3269"/>
              <w:rPr>
                <w:rFonts w:ascii="方正仿宋_GBK" w:hAnsi="方正仿宋_GBK" w:eastAsia="方正仿宋_GBK" w:cs="方正仿宋_GBK"/>
                <w:sz w:val="24"/>
                <w:szCs w:val="24"/>
              </w:rPr>
            </w:pPr>
            <w:r>
              <w:rPr>
                <w:rFonts w:hint="eastAsia" w:ascii="方正仿宋_GBK" w:hAnsi="方正仿宋_GBK" w:eastAsia="方正仿宋_GBK" w:cs="方正仿宋_GBK"/>
                <w:b/>
                <w:bCs/>
                <w:spacing w:val="-11"/>
                <w:sz w:val="24"/>
                <w:szCs w:val="24"/>
              </w:rPr>
              <w:t>要求</w:t>
            </w:r>
          </w:p>
        </w:tc>
      </w:tr>
      <w:tr w14:paraId="1EB99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591" w:type="dxa"/>
            <w:tcBorders>
              <w:left w:val="single" w:color="000000" w:sz="10" w:space="0"/>
            </w:tcBorders>
            <w:vAlign w:val="center"/>
          </w:tcPr>
          <w:p w14:paraId="049D2580">
            <w:pPr>
              <w:spacing w:line="360" w:lineRule="exact"/>
              <w:ind w:left="252"/>
              <w:rPr>
                <w:rFonts w:ascii="Times New Roman" w:hAnsi="Times New Roman" w:eastAsia="方正仿宋_GBK" w:cs="Times New Roman"/>
                <w:sz w:val="24"/>
              </w:rPr>
            </w:pPr>
            <w:r>
              <w:rPr>
                <w:rFonts w:ascii="Times New Roman" w:hAnsi="Times New Roman" w:eastAsia="方正仿宋_GBK" w:cs="Times New Roman"/>
                <w:sz w:val="24"/>
              </w:rPr>
              <w:t>1</w:t>
            </w:r>
          </w:p>
        </w:tc>
        <w:tc>
          <w:tcPr>
            <w:tcW w:w="1876" w:type="dxa"/>
            <w:vAlign w:val="center"/>
          </w:tcPr>
          <w:p w14:paraId="2A6D6639">
            <w:pPr>
              <w:pStyle w:val="13"/>
              <w:spacing w:line="360" w:lineRule="exact"/>
              <w:ind w:left="609"/>
              <w:rPr>
                <w:rFonts w:ascii="方正仿宋_GBK" w:hAnsi="方正仿宋_GBK" w:eastAsia="方正仿宋_GBK" w:cs="方正仿宋_GBK"/>
                <w:sz w:val="24"/>
                <w:szCs w:val="24"/>
              </w:rPr>
            </w:pPr>
            <w:r>
              <w:rPr>
                <w:rFonts w:hint="eastAsia" w:ascii="方正仿宋_GBK" w:hAnsi="方正仿宋_GBK" w:eastAsia="方正仿宋_GBK" w:cs="方正仿宋_GBK"/>
                <w:spacing w:val="-5"/>
                <w:sz w:val="24"/>
                <w:szCs w:val="24"/>
              </w:rPr>
              <w:t>服务期</w:t>
            </w:r>
          </w:p>
        </w:tc>
        <w:tc>
          <w:tcPr>
            <w:tcW w:w="6761" w:type="dxa"/>
            <w:tcBorders>
              <w:right w:val="single" w:color="000000" w:sz="10" w:space="0"/>
            </w:tcBorders>
            <w:vAlign w:val="center"/>
          </w:tcPr>
          <w:p w14:paraId="40E13EAA">
            <w:pPr>
              <w:pStyle w:val="13"/>
              <w:spacing w:line="360" w:lineRule="exact"/>
              <w:ind w:left="223"/>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2"/>
                <w:sz w:val="24"/>
                <w:szCs w:val="24"/>
                <w:lang w:eastAsia="zh-CN"/>
              </w:rPr>
              <w:t>采购合同签订之日起</w:t>
            </w:r>
            <w:r>
              <w:rPr>
                <w:rFonts w:hint="eastAsia" w:ascii="Times New Roman" w:hAnsi="Times New Roman" w:eastAsia="方正仿宋_GBK" w:cs="Times New Roman"/>
                <w:sz w:val="24"/>
                <w:szCs w:val="24"/>
                <w:lang w:eastAsia="zh-CN"/>
              </w:rPr>
              <w:t>3</w:t>
            </w:r>
            <w:r>
              <w:rPr>
                <w:rFonts w:hint="eastAsia" w:ascii="方正仿宋_GBK" w:hAnsi="方正仿宋_GBK" w:eastAsia="方正仿宋_GBK" w:cs="方正仿宋_GBK"/>
                <w:spacing w:val="-2"/>
                <w:sz w:val="24"/>
                <w:szCs w:val="24"/>
                <w:lang w:eastAsia="zh-CN"/>
              </w:rPr>
              <w:t>年</w:t>
            </w:r>
          </w:p>
        </w:tc>
      </w:tr>
      <w:tr w14:paraId="29FD5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7" w:hRule="atLeast"/>
        </w:trPr>
        <w:tc>
          <w:tcPr>
            <w:tcW w:w="591" w:type="dxa"/>
            <w:tcBorders>
              <w:left w:val="single" w:color="000000" w:sz="10" w:space="0"/>
            </w:tcBorders>
            <w:vAlign w:val="center"/>
          </w:tcPr>
          <w:p w14:paraId="2EA35242">
            <w:pPr>
              <w:spacing w:line="360" w:lineRule="exact"/>
              <w:ind w:left="230"/>
              <w:rPr>
                <w:rFonts w:ascii="Times New Roman" w:hAnsi="Times New Roman" w:eastAsia="方正仿宋_GBK" w:cs="Times New Roman"/>
                <w:sz w:val="24"/>
              </w:rPr>
            </w:pPr>
            <w:r>
              <w:rPr>
                <w:rFonts w:ascii="Times New Roman" w:hAnsi="Times New Roman" w:eastAsia="方正仿宋_GBK" w:cs="Times New Roman"/>
                <w:sz w:val="24"/>
              </w:rPr>
              <w:t>2</w:t>
            </w:r>
          </w:p>
        </w:tc>
        <w:tc>
          <w:tcPr>
            <w:tcW w:w="1876" w:type="dxa"/>
            <w:vAlign w:val="center"/>
          </w:tcPr>
          <w:p w14:paraId="3A976C27">
            <w:pPr>
              <w:pStyle w:val="13"/>
              <w:spacing w:line="360" w:lineRule="exact"/>
              <w:ind w:left="499"/>
              <w:rPr>
                <w:rFonts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服务地点</w:t>
            </w:r>
          </w:p>
        </w:tc>
        <w:tc>
          <w:tcPr>
            <w:tcW w:w="6761" w:type="dxa"/>
            <w:tcBorders>
              <w:right w:val="single" w:color="000000" w:sz="10" w:space="0"/>
            </w:tcBorders>
            <w:vAlign w:val="center"/>
          </w:tcPr>
          <w:p w14:paraId="530C2A84">
            <w:pPr>
              <w:pStyle w:val="13"/>
              <w:spacing w:line="360" w:lineRule="exact"/>
              <w:ind w:left="223"/>
              <w:rPr>
                <w:rFonts w:ascii="方正仿宋_GBK" w:hAnsi="方正仿宋_GBK" w:eastAsia="方正仿宋_GBK" w:cs="方正仿宋_GBK"/>
                <w:sz w:val="24"/>
                <w:szCs w:val="24"/>
              </w:rPr>
            </w:pPr>
            <w:r>
              <w:rPr>
                <w:rFonts w:hint="eastAsia" w:ascii="方正仿宋_GBK" w:hAnsi="方正仿宋_GBK" w:eastAsia="方正仿宋_GBK" w:cs="方正仿宋_GBK"/>
                <w:spacing w:val="-3"/>
                <w:sz w:val="24"/>
                <w:szCs w:val="24"/>
              </w:rPr>
              <w:t>采购人指定地点</w:t>
            </w:r>
          </w:p>
        </w:tc>
      </w:tr>
      <w:tr w14:paraId="78B2E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47" w:hRule="atLeast"/>
        </w:trPr>
        <w:tc>
          <w:tcPr>
            <w:tcW w:w="591" w:type="dxa"/>
            <w:tcBorders>
              <w:left w:val="single" w:color="000000" w:sz="10" w:space="0"/>
            </w:tcBorders>
            <w:vAlign w:val="center"/>
          </w:tcPr>
          <w:p w14:paraId="0301EB0E">
            <w:pPr>
              <w:spacing w:line="360" w:lineRule="exact"/>
              <w:rPr>
                <w:rFonts w:ascii="Times New Roman" w:hAnsi="Times New Roman" w:eastAsia="方正仿宋_GBK" w:cs="Times New Roman"/>
                <w:sz w:val="24"/>
              </w:rPr>
            </w:pPr>
          </w:p>
          <w:p w14:paraId="1DC55965">
            <w:pPr>
              <w:spacing w:line="360" w:lineRule="exact"/>
              <w:ind w:left="235"/>
              <w:rPr>
                <w:rFonts w:ascii="Times New Roman" w:hAnsi="Times New Roman" w:eastAsia="方正仿宋_GBK" w:cs="Times New Roman"/>
                <w:sz w:val="24"/>
              </w:rPr>
            </w:pPr>
            <w:r>
              <w:rPr>
                <w:rFonts w:ascii="Times New Roman" w:hAnsi="Times New Roman" w:eastAsia="方正仿宋_GBK" w:cs="Times New Roman"/>
                <w:sz w:val="24"/>
              </w:rPr>
              <w:t>3</w:t>
            </w:r>
          </w:p>
        </w:tc>
        <w:tc>
          <w:tcPr>
            <w:tcW w:w="1876" w:type="dxa"/>
            <w:vAlign w:val="center"/>
          </w:tcPr>
          <w:p w14:paraId="7BD0E33A">
            <w:pPr>
              <w:spacing w:line="360" w:lineRule="exact"/>
              <w:rPr>
                <w:rFonts w:ascii="方正仿宋_GBK" w:hAnsi="方正仿宋_GBK" w:eastAsia="方正仿宋_GBK" w:cs="方正仿宋_GBK"/>
                <w:sz w:val="24"/>
              </w:rPr>
            </w:pPr>
          </w:p>
          <w:p w14:paraId="5104BC85">
            <w:pPr>
              <w:pStyle w:val="13"/>
              <w:spacing w:line="360" w:lineRule="exact"/>
              <w:ind w:left="720"/>
              <w:rPr>
                <w:rFonts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报价</w:t>
            </w:r>
          </w:p>
        </w:tc>
        <w:tc>
          <w:tcPr>
            <w:tcW w:w="6761" w:type="dxa"/>
            <w:tcBorders>
              <w:right w:val="single" w:color="000000" w:sz="10" w:space="0"/>
            </w:tcBorders>
            <w:vAlign w:val="center"/>
          </w:tcPr>
          <w:p w14:paraId="29E378D7">
            <w:pPr>
              <w:pStyle w:val="13"/>
              <w:spacing w:line="360" w:lineRule="exact"/>
              <w:ind w:right="3"/>
              <w:rPr>
                <w:rFonts w:ascii="方正仿宋_GBK" w:hAnsi="方正仿宋_GBK" w:eastAsia="方正仿宋_GBK" w:cs="方正仿宋_GBK"/>
                <w:spacing w:val="-4"/>
                <w:sz w:val="24"/>
                <w:szCs w:val="24"/>
                <w:lang w:eastAsia="zh-CN"/>
              </w:rPr>
            </w:pPr>
            <w:r>
              <w:rPr>
                <w:rFonts w:ascii="Times New Roman" w:hAnsi="Times New Roman" w:eastAsia="方正仿宋_GBK" w:cs="Times New Roman"/>
                <w:spacing w:val="1"/>
                <w:sz w:val="24"/>
                <w:szCs w:val="24"/>
                <w:lang w:eastAsia="zh-CN"/>
              </w:rPr>
              <w:t>1</w:t>
            </w:r>
            <w:r>
              <w:rPr>
                <w:rFonts w:hint="eastAsia" w:ascii="方正仿宋_GBK" w:hAnsi="方正仿宋_GBK" w:eastAsia="方正仿宋_GBK" w:cs="方正仿宋_GBK"/>
                <w:spacing w:val="1"/>
                <w:sz w:val="24"/>
                <w:szCs w:val="24"/>
                <w:lang w:eastAsia="zh-CN"/>
              </w:rPr>
              <w:t>.供应商的报价（管理费率）不得低于项目收</w:t>
            </w:r>
            <w:r>
              <w:rPr>
                <w:rFonts w:hint="eastAsia" w:ascii="方正仿宋_GBK" w:hAnsi="方正仿宋_GBK" w:eastAsia="方正仿宋_GBK" w:cs="方正仿宋_GBK"/>
                <w:sz w:val="24"/>
                <w:szCs w:val="24"/>
                <w:lang w:eastAsia="zh-CN"/>
              </w:rPr>
              <w:t>入的</w:t>
            </w:r>
            <w:r>
              <w:rPr>
                <w:rFonts w:hint="eastAsia" w:ascii="Times New Roman" w:hAnsi="Times New Roman" w:eastAsia="方正仿宋_GBK" w:cs="Times New Roman"/>
                <w:sz w:val="24"/>
                <w:szCs w:val="24"/>
                <w:lang w:eastAsia="zh-CN"/>
              </w:rPr>
              <w:t>5.00%</w:t>
            </w:r>
            <w:r>
              <w:rPr>
                <w:rFonts w:hint="eastAsia" w:ascii="方正仿宋_GBK" w:hAnsi="方正仿宋_GBK" w:eastAsia="方正仿宋_GBK" w:cs="方正仿宋_GBK"/>
                <w:sz w:val="24"/>
                <w:szCs w:val="24"/>
                <w:lang w:eastAsia="zh-CN"/>
              </w:rPr>
              <w:t>，否则其响</w:t>
            </w:r>
            <w:r>
              <w:rPr>
                <w:rFonts w:hint="eastAsia" w:ascii="方正仿宋_GBK" w:hAnsi="方正仿宋_GBK" w:eastAsia="方正仿宋_GBK" w:cs="方正仿宋_GBK"/>
                <w:spacing w:val="-3"/>
                <w:sz w:val="24"/>
                <w:szCs w:val="24"/>
                <w:lang w:eastAsia="zh-CN"/>
              </w:rPr>
              <w:t>应将作为无效响应处理，例如供应商所报管理费率为</w:t>
            </w:r>
            <w:r>
              <w:rPr>
                <w:rFonts w:hint="eastAsia" w:ascii="Times New Roman" w:hAnsi="Times New Roman" w:eastAsia="方正仿宋_GBK" w:cs="Times New Roman"/>
                <w:sz w:val="24"/>
                <w:szCs w:val="24"/>
                <w:lang w:eastAsia="zh-CN"/>
              </w:rPr>
              <w:t>4%、3%</w:t>
            </w:r>
            <w:r>
              <w:rPr>
                <w:rFonts w:hint="eastAsia" w:ascii="方正仿宋_GBK" w:hAnsi="方正仿宋_GBK" w:eastAsia="方正仿宋_GBK" w:cs="方正仿宋_GBK"/>
                <w:spacing w:val="-3"/>
                <w:sz w:val="24"/>
                <w:szCs w:val="24"/>
                <w:lang w:eastAsia="zh-CN"/>
              </w:rPr>
              <w:t>、</w:t>
            </w:r>
            <w:r>
              <w:rPr>
                <w:rFonts w:hint="eastAsia" w:ascii="Times New Roman" w:hAnsi="Times New Roman" w:eastAsia="方正仿宋_GBK" w:cs="Times New Roman"/>
                <w:sz w:val="24"/>
                <w:szCs w:val="24"/>
                <w:lang w:eastAsia="zh-CN"/>
              </w:rPr>
              <w:t>2%</w:t>
            </w:r>
            <w:r>
              <w:rPr>
                <w:rFonts w:hint="eastAsia" w:ascii="方正仿宋_GBK" w:hAnsi="方正仿宋_GBK" w:eastAsia="方正仿宋_GBK" w:cs="方正仿宋_GBK"/>
                <w:spacing w:val="-3"/>
                <w:sz w:val="24"/>
                <w:szCs w:val="24"/>
                <w:lang w:eastAsia="zh-CN"/>
              </w:rPr>
              <w:t>视为无</w:t>
            </w:r>
            <w:r>
              <w:rPr>
                <w:rFonts w:hint="eastAsia" w:ascii="方正仿宋_GBK" w:hAnsi="方正仿宋_GBK" w:eastAsia="方正仿宋_GBK" w:cs="方正仿宋_GBK"/>
                <w:spacing w:val="-4"/>
                <w:sz w:val="24"/>
                <w:szCs w:val="24"/>
                <w:lang w:eastAsia="zh-CN"/>
              </w:rPr>
              <w:t>效报价。</w:t>
            </w:r>
          </w:p>
          <w:p w14:paraId="6EDC85F4">
            <w:pPr>
              <w:pStyle w:val="13"/>
              <w:spacing w:line="360" w:lineRule="exact"/>
              <w:ind w:right="3"/>
              <w:rPr>
                <w:rFonts w:ascii="方正仿宋_GBK" w:hAnsi="方正仿宋_GBK" w:eastAsia="方正仿宋_GBK" w:cs="方正仿宋_GBK"/>
                <w:sz w:val="24"/>
                <w:szCs w:val="24"/>
                <w:lang w:eastAsia="zh-CN"/>
              </w:rPr>
            </w:pPr>
            <w:r>
              <w:rPr>
                <w:rFonts w:ascii="Times New Roman" w:hAnsi="Times New Roman" w:eastAsia="方正仿宋_GBK" w:cs="Times New Roman"/>
                <w:spacing w:val="-1"/>
                <w:sz w:val="24"/>
                <w:szCs w:val="24"/>
                <w:lang w:eastAsia="zh-CN"/>
              </w:rPr>
              <w:t>2</w:t>
            </w:r>
            <w:r>
              <w:rPr>
                <w:rFonts w:hint="eastAsia" w:ascii="方正仿宋_GBK" w:hAnsi="方正仿宋_GBK" w:eastAsia="方正仿宋_GBK" w:cs="方正仿宋_GBK"/>
                <w:spacing w:val="-1"/>
                <w:sz w:val="24"/>
                <w:szCs w:val="24"/>
                <w:lang w:eastAsia="zh-CN"/>
              </w:rPr>
              <w:t>.在任何情况下，采购人不保证服务期内产生的实际业务额，响应供</w:t>
            </w:r>
            <w:r>
              <w:rPr>
                <w:rFonts w:hint="eastAsia" w:ascii="方正仿宋_GBK" w:hAnsi="方正仿宋_GBK" w:eastAsia="方正仿宋_GBK" w:cs="方正仿宋_GBK"/>
                <w:spacing w:val="-3"/>
                <w:sz w:val="24"/>
                <w:szCs w:val="24"/>
                <w:lang w:eastAsia="zh-CN"/>
              </w:rPr>
              <w:t>应商须在报价时考量各项相关因素，自行承担</w:t>
            </w:r>
            <w:r>
              <w:rPr>
                <w:rFonts w:hint="eastAsia" w:ascii="方正仿宋_GBK" w:hAnsi="方正仿宋_GBK" w:eastAsia="方正仿宋_GBK" w:cs="方正仿宋_GBK"/>
                <w:spacing w:val="-4"/>
                <w:sz w:val="24"/>
                <w:szCs w:val="24"/>
                <w:lang w:eastAsia="zh-CN"/>
              </w:rPr>
              <w:t>风险。</w:t>
            </w:r>
          </w:p>
        </w:tc>
      </w:tr>
      <w:tr w14:paraId="2FAD4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0" w:hRule="atLeast"/>
        </w:trPr>
        <w:tc>
          <w:tcPr>
            <w:tcW w:w="591" w:type="dxa"/>
            <w:tcBorders>
              <w:left w:val="single" w:color="000000" w:sz="10" w:space="0"/>
            </w:tcBorders>
            <w:vAlign w:val="center"/>
          </w:tcPr>
          <w:p w14:paraId="461F8B2E">
            <w:pPr>
              <w:spacing w:before="63" w:line="189" w:lineRule="auto"/>
              <w:ind w:left="235"/>
              <w:rPr>
                <w:rFonts w:ascii="Times New Roman" w:hAnsi="Times New Roman" w:eastAsia="方正仿宋_GBK" w:cs="Times New Roman"/>
                <w:sz w:val="24"/>
              </w:rPr>
            </w:pPr>
            <w:r>
              <w:rPr>
                <w:rFonts w:ascii="Times New Roman" w:hAnsi="Times New Roman" w:eastAsia="方正仿宋_GBK" w:cs="Times New Roman"/>
                <w:sz w:val="24"/>
              </w:rPr>
              <w:t>4</w:t>
            </w:r>
          </w:p>
        </w:tc>
        <w:tc>
          <w:tcPr>
            <w:tcW w:w="1876" w:type="dxa"/>
            <w:vAlign w:val="center"/>
          </w:tcPr>
          <w:p w14:paraId="38306840">
            <w:pPr>
              <w:pStyle w:val="13"/>
              <w:spacing w:before="72" w:line="223" w:lineRule="auto"/>
              <w:jc w:val="center"/>
              <w:rPr>
                <w:rFonts w:ascii="方正仿宋_GBK" w:hAnsi="方正仿宋_GBK" w:eastAsia="方正仿宋_GBK" w:cs="方正仿宋_GBK"/>
                <w:spacing w:val="-7"/>
                <w:sz w:val="24"/>
                <w:szCs w:val="24"/>
                <w:lang w:eastAsia="zh-CN"/>
              </w:rPr>
            </w:pPr>
            <w:r>
              <w:rPr>
                <w:rFonts w:hint="eastAsia" w:ascii="方正仿宋_GBK" w:hAnsi="方正仿宋_GBK" w:eastAsia="方正仿宋_GBK" w:cs="方正仿宋_GBK"/>
                <w:spacing w:val="-7"/>
                <w:sz w:val="24"/>
                <w:szCs w:val="24"/>
                <w:lang w:eastAsia="zh-CN"/>
              </w:rPr>
              <w:t>不正当竞争</w:t>
            </w:r>
          </w:p>
          <w:p w14:paraId="495752CB">
            <w:pPr>
              <w:pStyle w:val="13"/>
              <w:spacing w:before="72" w:line="223" w:lineRule="auto"/>
              <w:jc w:val="center"/>
              <w:rPr>
                <w:rFonts w:ascii="方正仿宋_GBK" w:hAnsi="方正仿宋_GBK" w:eastAsia="方正仿宋_GBK" w:cs="方正仿宋_GBK"/>
                <w:spacing w:val="-7"/>
                <w:sz w:val="24"/>
                <w:szCs w:val="24"/>
                <w:lang w:eastAsia="zh-CN"/>
              </w:rPr>
            </w:pPr>
            <w:r>
              <w:rPr>
                <w:rFonts w:hint="eastAsia" w:ascii="方正仿宋_GBK" w:hAnsi="方正仿宋_GBK" w:eastAsia="方正仿宋_GBK" w:cs="方正仿宋_GBK"/>
                <w:spacing w:val="-7"/>
                <w:sz w:val="24"/>
                <w:szCs w:val="24"/>
                <w:lang w:eastAsia="zh-CN"/>
              </w:rPr>
              <w:t>预防措施</w:t>
            </w:r>
          </w:p>
        </w:tc>
        <w:tc>
          <w:tcPr>
            <w:tcW w:w="6761" w:type="dxa"/>
            <w:tcBorders>
              <w:right w:val="single" w:color="000000" w:sz="10" w:space="0"/>
            </w:tcBorders>
            <w:vAlign w:val="center"/>
          </w:tcPr>
          <w:p w14:paraId="77CCDCDE">
            <w:pPr>
              <w:pStyle w:val="15"/>
              <w:topLinePunct/>
              <w:spacing w:line="340" w:lineRule="exact"/>
              <w:rPr>
                <w:rFonts w:ascii="方正仿宋_GBK" w:hAnsi="方正仿宋_GBK" w:eastAsia="方正仿宋_GBK" w:cs="方正仿宋_GBK"/>
                <w:spacing w:val="-1"/>
                <w:szCs w:val="24"/>
              </w:rPr>
            </w:pPr>
            <w:r>
              <w:rPr>
                <w:rFonts w:hint="eastAsia" w:ascii="方正仿宋_GBK" w:hAnsi="方正仿宋_GBK" w:eastAsia="方正仿宋_GBK" w:cs="方正仿宋_GBK"/>
                <w:szCs w:val="24"/>
              </w:rPr>
              <w:t>谈判小组认为供应商的报价明显高于其他有效供应商报价的，有可能影响产品质量或者不能诚信履约的，应当要求其在谈判现场</w:t>
            </w:r>
            <w:r>
              <w:rPr>
                <w:rFonts w:hint="eastAsia" w:ascii="Times New Roman" w:hAnsi="Times New Roman" w:eastAsia="方正仿宋_GBK"/>
                <w:spacing w:val="1"/>
                <w:kern w:val="2"/>
                <w:szCs w:val="24"/>
              </w:rPr>
              <w:t>1小</w:t>
            </w:r>
            <w:r>
              <w:rPr>
                <w:rFonts w:hint="eastAsia" w:ascii="方正仿宋_GBK" w:hAnsi="方正仿宋_GBK" w:eastAsia="方正仿宋_GBK" w:cs="方正仿宋_GBK"/>
                <w:szCs w:val="24"/>
              </w:rPr>
              <w:t>时内提供书面说明，必要时提交相关证明材料；</w:t>
            </w:r>
            <w:r>
              <w:rPr>
                <w:rFonts w:hint="eastAsia" w:ascii="方正仿宋_GBK" w:hAnsi="方正仿宋_GBK" w:eastAsia="方正仿宋_GBK" w:cs="方正仿宋_GBK"/>
                <w:b/>
                <w:szCs w:val="24"/>
                <w:u w:val="single"/>
              </w:rPr>
              <w:t>供应商拒绝或者变相拒绝或在规定的时间内未提供有效书面说明或者书面说明不能证明其报价合理性的，谈判小组应当将其响应文件作为无效处理。</w:t>
            </w:r>
            <w:r>
              <w:rPr>
                <w:rFonts w:hint="eastAsia" w:ascii="方正仿宋_GBK" w:hAnsi="方正仿宋_GBK" w:eastAsia="方正仿宋_GBK" w:cs="方正仿宋_GBK"/>
                <w:szCs w:val="24"/>
              </w:rPr>
              <w:t>供应商书面说明应当签字确认或者加盖公章(盖鲜章)，否则无效。书面说明的签字确认，供应商为法人的，由其法定代表人或者代理人签字确认；供应商为其他组织的，由其主要负责人或者代理人签字确认；供应商为自然人的，由其本人或者代理人签字确认。</w:t>
            </w:r>
          </w:p>
        </w:tc>
      </w:tr>
      <w:tr w14:paraId="11418C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7" w:hRule="atLeast"/>
        </w:trPr>
        <w:tc>
          <w:tcPr>
            <w:tcW w:w="591" w:type="dxa"/>
            <w:tcBorders>
              <w:left w:val="single" w:color="000000" w:sz="10" w:space="0"/>
            </w:tcBorders>
            <w:vAlign w:val="center"/>
          </w:tcPr>
          <w:p w14:paraId="1D56C61F">
            <w:pPr>
              <w:spacing w:line="308" w:lineRule="auto"/>
              <w:rPr>
                <w:rFonts w:ascii="Times New Roman" w:hAnsi="Times New Roman" w:eastAsia="方正仿宋_GBK" w:cs="Times New Roman"/>
                <w:sz w:val="24"/>
              </w:rPr>
            </w:pPr>
          </w:p>
          <w:p w14:paraId="29C44AA3">
            <w:pPr>
              <w:spacing w:before="64" w:line="189" w:lineRule="auto"/>
              <w:ind w:left="229"/>
              <w:rPr>
                <w:rFonts w:ascii="Times New Roman" w:hAnsi="Times New Roman" w:eastAsia="方正仿宋_GBK" w:cs="Times New Roman"/>
                <w:sz w:val="24"/>
              </w:rPr>
            </w:pPr>
            <w:r>
              <w:rPr>
                <w:rFonts w:ascii="Times New Roman" w:hAnsi="Times New Roman" w:eastAsia="方正仿宋_GBK" w:cs="Times New Roman"/>
                <w:sz w:val="24"/>
              </w:rPr>
              <w:t>5</w:t>
            </w:r>
          </w:p>
        </w:tc>
        <w:tc>
          <w:tcPr>
            <w:tcW w:w="1876" w:type="dxa"/>
            <w:vAlign w:val="center"/>
          </w:tcPr>
          <w:p w14:paraId="46D6511E">
            <w:pPr>
              <w:spacing w:line="287" w:lineRule="auto"/>
              <w:rPr>
                <w:rFonts w:ascii="方正仿宋_GBK" w:hAnsi="方正仿宋_GBK" w:eastAsia="方正仿宋_GBK" w:cs="方正仿宋_GBK"/>
                <w:sz w:val="24"/>
              </w:rPr>
            </w:pPr>
          </w:p>
          <w:p w14:paraId="2C28B3D4">
            <w:pPr>
              <w:pStyle w:val="13"/>
              <w:spacing w:before="71" w:line="223" w:lineRule="auto"/>
              <w:ind w:left="285"/>
              <w:rPr>
                <w:rFonts w:ascii="方正仿宋_GBK" w:hAnsi="方正仿宋_GBK" w:eastAsia="方正仿宋_GBK" w:cs="方正仿宋_GBK"/>
                <w:sz w:val="24"/>
                <w:szCs w:val="24"/>
              </w:rPr>
            </w:pPr>
            <w:r>
              <w:rPr>
                <w:rFonts w:hint="eastAsia" w:ascii="方正仿宋_GBK" w:hAnsi="方正仿宋_GBK" w:eastAsia="方正仿宋_GBK" w:cs="方正仿宋_GBK"/>
                <w:spacing w:val="-4"/>
                <w:sz w:val="24"/>
                <w:szCs w:val="24"/>
              </w:rPr>
              <w:t>合同价款支付</w:t>
            </w:r>
          </w:p>
        </w:tc>
        <w:tc>
          <w:tcPr>
            <w:tcW w:w="6761" w:type="dxa"/>
            <w:tcBorders>
              <w:right w:val="single" w:color="000000" w:sz="10" w:space="0"/>
            </w:tcBorders>
            <w:vAlign w:val="center"/>
          </w:tcPr>
          <w:p w14:paraId="1423D9C4">
            <w:pPr>
              <w:pStyle w:val="13"/>
              <w:spacing w:line="360" w:lineRule="exac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5"/>
                <w:sz w:val="24"/>
                <w:szCs w:val="24"/>
                <w:lang w:eastAsia="zh-CN"/>
              </w:rPr>
              <w:t>供应商根据在采购人单位增设的眼视光中心</w:t>
            </w:r>
            <w:r>
              <w:rPr>
                <w:rFonts w:hint="eastAsia" w:ascii="方正仿宋_GBK" w:hAnsi="方正仿宋_GBK" w:eastAsia="方正仿宋_GBK" w:cs="方正仿宋_GBK"/>
                <w:spacing w:val="-6"/>
                <w:sz w:val="24"/>
                <w:szCs w:val="24"/>
                <w:lang w:eastAsia="zh-CN"/>
              </w:rPr>
              <w:t>每季度收入，按成交管理</w:t>
            </w:r>
            <w:r>
              <w:rPr>
                <w:rFonts w:hint="eastAsia" w:ascii="方正仿宋_GBK" w:hAnsi="方正仿宋_GBK" w:eastAsia="方正仿宋_GBK" w:cs="方正仿宋_GBK"/>
                <w:spacing w:val="-5"/>
                <w:sz w:val="24"/>
                <w:szCs w:val="24"/>
                <w:lang w:eastAsia="zh-CN"/>
              </w:rPr>
              <w:t>费率向采购人支付管理费，每季度支付一次</w:t>
            </w:r>
            <w:r>
              <w:rPr>
                <w:rFonts w:hint="eastAsia" w:ascii="方正仿宋_GBK" w:hAnsi="方正仿宋_GBK" w:eastAsia="方正仿宋_GBK" w:cs="方正仿宋_GBK"/>
                <w:spacing w:val="-6"/>
                <w:sz w:val="24"/>
                <w:szCs w:val="24"/>
                <w:lang w:eastAsia="zh-CN"/>
              </w:rPr>
              <w:t>。此管理费即为供应商在</w:t>
            </w:r>
            <w:r>
              <w:rPr>
                <w:rFonts w:hint="eastAsia" w:ascii="方正仿宋_GBK" w:hAnsi="方正仿宋_GBK" w:eastAsia="方正仿宋_GBK" w:cs="方正仿宋_GBK"/>
                <w:spacing w:val="-10"/>
                <w:sz w:val="24"/>
                <w:szCs w:val="24"/>
                <w:lang w:eastAsia="zh-CN"/>
              </w:rPr>
              <w:t>本项目中应向采购人支付的全部费用，包括场地使用费、水电费用等。</w:t>
            </w:r>
          </w:p>
        </w:tc>
      </w:tr>
      <w:tr w14:paraId="757DA3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2" w:hRule="atLeast"/>
        </w:trPr>
        <w:tc>
          <w:tcPr>
            <w:tcW w:w="591" w:type="dxa"/>
            <w:tcBorders>
              <w:left w:val="single" w:color="000000" w:sz="10" w:space="0"/>
              <w:bottom w:val="single" w:color="000000" w:sz="10" w:space="0"/>
            </w:tcBorders>
            <w:vAlign w:val="center"/>
          </w:tcPr>
          <w:p w14:paraId="7E37C52C">
            <w:pPr>
              <w:spacing w:before="64" w:line="186" w:lineRule="auto"/>
              <w:jc w:val="center"/>
              <w:rPr>
                <w:rFonts w:ascii="Times New Roman" w:hAnsi="Times New Roman" w:eastAsia="方正仿宋_GBK" w:cs="Times New Roman"/>
                <w:sz w:val="24"/>
              </w:rPr>
            </w:pPr>
            <w:r>
              <w:rPr>
                <w:rFonts w:ascii="Times New Roman" w:hAnsi="Times New Roman" w:eastAsia="方正仿宋_GBK" w:cs="Times New Roman"/>
                <w:sz w:val="24"/>
              </w:rPr>
              <w:t>6</w:t>
            </w:r>
          </w:p>
        </w:tc>
        <w:tc>
          <w:tcPr>
            <w:tcW w:w="1876" w:type="dxa"/>
            <w:tcBorders>
              <w:bottom w:val="single" w:color="000000" w:sz="10" w:space="0"/>
            </w:tcBorders>
            <w:vAlign w:val="center"/>
          </w:tcPr>
          <w:p w14:paraId="067A3ECE">
            <w:pPr>
              <w:pStyle w:val="13"/>
              <w:spacing w:before="72" w:line="224" w:lineRule="auto"/>
              <w:jc w:val="center"/>
              <w:rPr>
                <w:rFonts w:ascii="方正仿宋_GBK" w:hAnsi="方正仿宋_GBK" w:eastAsia="方正仿宋_GBK" w:cs="方正仿宋_GBK"/>
                <w:sz w:val="24"/>
                <w:szCs w:val="24"/>
              </w:rPr>
            </w:pPr>
            <w:r>
              <w:rPr>
                <w:rFonts w:hint="eastAsia" w:ascii="方正仿宋_GBK" w:hAnsi="方正仿宋_GBK" w:eastAsia="方正仿宋_GBK" w:cs="方正仿宋_GBK"/>
                <w:spacing w:val="-7"/>
                <w:sz w:val="24"/>
                <w:szCs w:val="24"/>
              </w:rPr>
              <w:t>验收</w:t>
            </w:r>
          </w:p>
        </w:tc>
        <w:tc>
          <w:tcPr>
            <w:tcW w:w="6761" w:type="dxa"/>
            <w:tcBorders>
              <w:bottom w:val="single" w:color="000000" w:sz="10" w:space="0"/>
              <w:right w:val="single" w:color="000000" w:sz="10" w:space="0"/>
            </w:tcBorders>
            <w:vAlign w:val="center"/>
          </w:tcPr>
          <w:p w14:paraId="3891D2A4">
            <w:pPr>
              <w:pStyle w:val="13"/>
              <w:spacing w:line="360" w:lineRule="exact"/>
              <w:jc w:val="left"/>
              <w:rPr>
                <w:rFonts w:ascii="方正仿宋_GBK" w:hAnsi="方正仿宋_GBK" w:eastAsia="方正仿宋_GBK" w:cs="方正仿宋_GBK"/>
                <w:sz w:val="24"/>
                <w:szCs w:val="24"/>
                <w:lang w:eastAsia="zh-CN"/>
              </w:rPr>
            </w:pPr>
            <w:r>
              <w:rPr>
                <w:rFonts w:hint="eastAsia" w:ascii="方正仿宋_GBK" w:hAnsi="方正仿宋_GBK" w:eastAsia="方正仿宋_GBK" w:cs="方正仿宋_GBK"/>
                <w:spacing w:val="-5"/>
                <w:sz w:val="24"/>
                <w:szCs w:val="24"/>
                <w:lang w:eastAsia="zh-CN"/>
              </w:rPr>
              <w:t>参照《财政部关于进一步加强政府采购需求和履约验收</w:t>
            </w:r>
            <w:r>
              <w:rPr>
                <w:rFonts w:hint="eastAsia" w:ascii="方正仿宋_GBK" w:hAnsi="方正仿宋_GBK" w:eastAsia="方正仿宋_GBK" w:cs="方正仿宋_GBK"/>
                <w:spacing w:val="-6"/>
                <w:sz w:val="24"/>
                <w:szCs w:val="24"/>
                <w:lang w:eastAsia="zh-CN"/>
              </w:rPr>
              <w:t>管理的指导意</w:t>
            </w:r>
            <w:r>
              <w:rPr>
                <w:rFonts w:hint="eastAsia" w:ascii="方正仿宋_GBK" w:hAnsi="方正仿宋_GBK" w:eastAsia="方正仿宋_GBK" w:cs="方正仿宋_GBK"/>
                <w:sz w:val="24"/>
                <w:szCs w:val="24"/>
                <w:lang w:eastAsia="zh-CN"/>
              </w:rPr>
              <w:t xml:space="preserve"> </w:t>
            </w:r>
            <w:r>
              <w:rPr>
                <w:rFonts w:hint="eastAsia" w:ascii="方正仿宋_GBK" w:hAnsi="方正仿宋_GBK" w:eastAsia="方正仿宋_GBK" w:cs="方正仿宋_GBK"/>
                <w:spacing w:val="-16"/>
                <w:sz w:val="24"/>
                <w:szCs w:val="24"/>
                <w:lang w:eastAsia="zh-CN"/>
              </w:rPr>
              <w:t>见》（财</w:t>
            </w:r>
            <w:r>
              <w:rPr>
                <w:rFonts w:hint="eastAsia" w:ascii="Times New Roman" w:hAnsi="Times New Roman" w:eastAsia="方正仿宋_GBK" w:cs="Times New Roman"/>
                <w:spacing w:val="1"/>
                <w:sz w:val="24"/>
                <w:szCs w:val="24"/>
                <w:lang w:eastAsia="zh-CN"/>
              </w:rPr>
              <w:t>库〔2016〕205</w:t>
            </w:r>
            <w:r>
              <w:rPr>
                <w:rFonts w:hint="eastAsia" w:ascii="方正仿宋_GBK" w:hAnsi="方正仿宋_GBK" w:eastAsia="方正仿宋_GBK" w:cs="方正仿宋_GBK"/>
                <w:spacing w:val="-16"/>
                <w:sz w:val="24"/>
                <w:szCs w:val="24"/>
                <w:lang w:eastAsia="zh-CN"/>
              </w:rPr>
              <w:t>号）、《政府采购需求管理</w:t>
            </w:r>
            <w:r>
              <w:rPr>
                <w:rFonts w:hint="eastAsia" w:ascii="方正仿宋_GBK" w:hAnsi="方正仿宋_GBK" w:eastAsia="方正仿宋_GBK" w:cs="方正仿宋_GBK"/>
                <w:spacing w:val="-17"/>
                <w:sz w:val="24"/>
                <w:szCs w:val="24"/>
                <w:lang w:eastAsia="zh-CN"/>
              </w:rPr>
              <w:t>办法》（财库</w:t>
            </w:r>
            <w:r>
              <w:rPr>
                <w:rFonts w:hint="eastAsia" w:ascii="Times New Roman" w:hAnsi="Times New Roman" w:eastAsia="方正仿宋_GBK" w:cs="Times New Roman"/>
                <w:spacing w:val="1"/>
                <w:sz w:val="24"/>
                <w:szCs w:val="24"/>
                <w:lang w:eastAsia="zh-CN"/>
              </w:rPr>
              <w:t>〔2021〕 22</w:t>
            </w:r>
            <w:r>
              <w:rPr>
                <w:rFonts w:hint="eastAsia" w:ascii="方正仿宋_GBK" w:hAnsi="方正仿宋_GBK" w:eastAsia="方正仿宋_GBK" w:cs="方正仿宋_GBK"/>
                <w:spacing w:val="-3"/>
                <w:sz w:val="24"/>
                <w:szCs w:val="24"/>
                <w:lang w:eastAsia="zh-CN"/>
              </w:rPr>
              <w:t>号）的要求进行验收</w:t>
            </w:r>
          </w:p>
        </w:tc>
      </w:tr>
    </w:tbl>
    <w:p w14:paraId="5509AAAF">
      <w:pPr>
        <w:spacing w:line="600" w:lineRule="exact"/>
        <w:ind w:firstLine="640" w:firstLineChars="2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备注：商务要求属于实质性响应条款，参选单位均需提供承诺函加盖单位公章，格式自拟。未满足实质性响应条款的，将被列为无效参选单位。</w:t>
      </w:r>
    </w:p>
    <w:p w14:paraId="128D00DF">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二、项目遴选要求</w:t>
      </w:r>
    </w:p>
    <w:p w14:paraId="03B83176">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（一）合作方案</w:t>
      </w:r>
    </w:p>
    <w:p w14:paraId="4F787F76">
      <w:pPr>
        <w:snapToGrid w:val="0"/>
        <w:spacing w:line="360" w:lineRule="auto"/>
        <w:ind w:firstLine="480" w:firstLineChars="200"/>
        <w:rPr>
          <w:rFonts w:hint="eastAsia" w:ascii="宋体" w:hAnsi="宋体" w:cs="宋体"/>
          <w:color w:val="000000"/>
          <w:sz w:val="24"/>
          <w:szCs w:val="24"/>
          <w:highlight w:val="none"/>
        </w:rPr>
      </w:pPr>
      <w:r>
        <w:rPr>
          <w:rFonts w:hint="eastAsia" w:ascii="宋体" w:hAnsi="宋体" w:cs="宋体"/>
          <w:color w:val="000000"/>
          <w:sz w:val="24"/>
          <w:szCs w:val="24"/>
          <w:highlight w:val="none"/>
        </w:rPr>
        <w:t>（一）评审因素</w:t>
      </w:r>
    </w:p>
    <w:tbl>
      <w:tblPr>
        <w:tblStyle w:val="10"/>
        <w:tblW w:w="9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333"/>
        <w:gridCol w:w="1350"/>
        <w:gridCol w:w="4599"/>
        <w:gridCol w:w="2122"/>
      </w:tblGrid>
      <w:tr w14:paraId="40A73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577" w:type="dxa"/>
            <w:noWrap w:val="0"/>
            <w:vAlign w:val="center"/>
          </w:tcPr>
          <w:p w14:paraId="158BEB4B">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zh-TW" w:eastAsia="zh-TW"/>
              </w:rPr>
              <w:t>序号</w:t>
            </w:r>
          </w:p>
        </w:tc>
        <w:tc>
          <w:tcPr>
            <w:tcW w:w="1333" w:type="dxa"/>
            <w:noWrap w:val="0"/>
            <w:vAlign w:val="center"/>
          </w:tcPr>
          <w:p w14:paraId="6420455B">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zh-TW" w:eastAsia="zh-TW"/>
              </w:rPr>
              <w:t>评分因素</w:t>
            </w:r>
          </w:p>
          <w:p w14:paraId="0FCA63D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zh-TW" w:eastAsia="zh-TW"/>
              </w:rPr>
              <w:t>及权重</w:t>
            </w:r>
          </w:p>
        </w:tc>
        <w:tc>
          <w:tcPr>
            <w:tcW w:w="1350" w:type="dxa"/>
            <w:noWrap w:val="0"/>
            <w:vAlign w:val="center"/>
          </w:tcPr>
          <w:p w14:paraId="3946C8E3">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zh-TW" w:eastAsia="zh-TW"/>
              </w:rPr>
              <w:t>分值</w:t>
            </w:r>
          </w:p>
        </w:tc>
        <w:tc>
          <w:tcPr>
            <w:tcW w:w="4599" w:type="dxa"/>
            <w:noWrap w:val="0"/>
            <w:vAlign w:val="center"/>
          </w:tcPr>
          <w:p w14:paraId="3A92C3E4">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zh-TW" w:eastAsia="zh-TW"/>
              </w:rPr>
              <w:t>评分标准</w:t>
            </w:r>
          </w:p>
        </w:tc>
        <w:tc>
          <w:tcPr>
            <w:tcW w:w="2122" w:type="dxa"/>
            <w:noWrap w:val="0"/>
            <w:vAlign w:val="center"/>
          </w:tcPr>
          <w:p w14:paraId="42C46189">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val="zh-TW" w:eastAsia="zh-TW"/>
              </w:rPr>
              <w:t>说明</w:t>
            </w:r>
          </w:p>
        </w:tc>
      </w:tr>
      <w:tr w14:paraId="6CB6E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dxa"/>
            <w:noWrap w:val="0"/>
            <w:vAlign w:val="center"/>
          </w:tcPr>
          <w:p w14:paraId="641F3A82">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1</w:t>
            </w:r>
          </w:p>
        </w:tc>
        <w:tc>
          <w:tcPr>
            <w:tcW w:w="1333" w:type="dxa"/>
            <w:noWrap w:val="0"/>
            <w:vAlign w:val="center"/>
          </w:tcPr>
          <w:p w14:paraId="6985C054">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遴选报价</w:t>
            </w:r>
          </w:p>
          <w:p w14:paraId="6A2D3940">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w:t>
            </w:r>
            <w:r>
              <w:rPr>
                <w:rFonts w:hint="eastAsia" w:ascii="方正仿宋_GBK" w:hAnsi="方正仿宋_GBK" w:eastAsia="方正仿宋_GBK" w:cs="方正仿宋_GBK"/>
                <w:sz w:val="24"/>
                <w:lang w:val="en-US" w:eastAsia="zh-CN"/>
              </w:rPr>
              <w:t>10</w:t>
            </w:r>
            <w:r>
              <w:rPr>
                <w:rFonts w:hint="eastAsia" w:ascii="方正仿宋_GBK" w:hAnsi="方正仿宋_GBK" w:eastAsia="方正仿宋_GBK" w:cs="方正仿宋_GBK"/>
                <w:sz w:val="24"/>
                <w:lang w:val="zh-CN"/>
              </w:rPr>
              <w:t>%）</w:t>
            </w:r>
          </w:p>
        </w:tc>
        <w:tc>
          <w:tcPr>
            <w:tcW w:w="1350" w:type="dxa"/>
            <w:noWrap w:val="0"/>
            <w:vAlign w:val="center"/>
          </w:tcPr>
          <w:p w14:paraId="056E49F6">
            <w:pPr>
              <w:spacing w:line="400" w:lineRule="exact"/>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10</w:t>
            </w:r>
          </w:p>
        </w:tc>
        <w:tc>
          <w:tcPr>
            <w:tcW w:w="4599" w:type="dxa"/>
            <w:noWrap w:val="0"/>
            <w:vAlign w:val="center"/>
          </w:tcPr>
          <w:p w14:paraId="2B5F5F9B">
            <w:pPr>
              <w:spacing w:line="400" w:lineRule="exact"/>
              <w:jc w:val="left"/>
              <w:rPr>
                <w:rFonts w:hint="eastAsia" w:ascii="方正仿宋_GBK" w:hAnsi="方正仿宋_GBK" w:eastAsia="方正仿宋_GBK" w:cs="方正仿宋_GBK"/>
                <w:sz w:val="24"/>
              </w:rPr>
            </w:pPr>
            <w:r>
              <w:rPr>
                <w:rFonts w:hint="default" w:ascii="方正仿宋_GBK" w:hAnsi="方正仿宋_GBK" w:eastAsia="方正仿宋_GBK" w:cs="方正仿宋_GBK"/>
                <w:sz w:val="24"/>
                <w:lang w:val="en-US" w:eastAsia="zh-CN"/>
              </w:rPr>
              <w:t>满足资格要求且最后报价最</w:t>
            </w:r>
            <w:r>
              <w:rPr>
                <w:rFonts w:hint="eastAsia" w:ascii="方正仿宋_GBK" w:hAnsi="方正仿宋_GBK" w:eastAsia="方正仿宋_GBK" w:cs="方正仿宋_GBK"/>
                <w:sz w:val="24"/>
                <w:lang w:val="en-US" w:eastAsia="zh-CN"/>
              </w:rPr>
              <w:t>高</w:t>
            </w:r>
            <w:r>
              <w:rPr>
                <w:rFonts w:hint="default" w:ascii="方正仿宋_GBK" w:hAnsi="方正仿宋_GBK" w:eastAsia="方正仿宋_GBK" w:cs="方正仿宋_GBK"/>
                <w:sz w:val="24"/>
                <w:lang w:val="en-US" w:eastAsia="zh-CN"/>
              </w:rPr>
              <w:t>的</w:t>
            </w:r>
            <w:r>
              <w:rPr>
                <w:rFonts w:hint="eastAsia" w:ascii="方正仿宋_GBK" w:hAnsi="方正仿宋_GBK" w:eastAsia="方正仿宋_GBK" w:cs="方正仿宋_GBK"/>
                <w:sz w:val="24"/>
                <w:lang w:val="en-US" w:eastAsia="zh-CN"/>
              </w:rPr>
              <w:t>合作方</w:t>
            </w:r>
            <w:r>
              <w:rPr>
                <w:rFonts w:hint="default" w:ascii="方正仿宋_GBK" w:hAnsi="方正仿宋_GBK" w:eastAsia="方正仿宋_GBK" w:cs="方正仿宋_GBK"/>
                <w:sz w:val="24"/>
                <w:lang w:val="en-US" w:eastAsia="zh-CN"/>
              </w:rPr>
              <w:t>的价格为基准价</w:t>
            </w:r>
            <w:r>
              <w:rPr>
                <w:rFonts w:hint="eastAsia" w:ascii="方正仿宋_GBK" w:hAnsi="方正仿宋_GBK" w:eastAsia="方正仿宋_GBK" w:cs="方正仿宋_GBK"/>
                <w:sz w:val="24"/>
                <w:lang w:val="en-US" w:eastAsia="zh-CN"/>
              </w:rPr>
              <w:t>，其价格分为满分。其他投标人的价格分统一按照下列公式计算：</w:t>
            </w:r>
            <w:r>
              <w:rPr>
                <w:rFonts w:hint="eastAsia" w:ascii="方正仿宋_GBK" w:hAnsi="方正仿宋_GBK" w:eastAsia="方正仿宋_GBK" w:cs="方正仿宋_GBK"/>
                <w:sz w:val="24"/>
                <w:lang w:val="en-US" w:eastAsia="zh-CN"/>
              </w:rPr>
              <w:br w:type="textWrapping"/>
            </w:r>
            <w:r>
              <w:rPr>
                <w:rFonts w:hint="eastAsia" w:ascii="方正仿宋_GBK" w:hAnsi="方正仿宋_GBK" w:eastAsia="方正仿宋_GBK" w:cs="方正仿宋_GBK"/>
                <w:sz w:val="24"/>
                <w:lang w:val="en-US" w:eastAsia="zh-CN"/>
              </w:rPr>
              <w:t>报价得分＝（投标总报价/评标基准价）×价格权重×100。</w:t>
            </w:r>
          </w:p>
        </w:tc>
        <w:tc>
          <w:tcPr>
            <w:tcW w:w="2122" w:type="dxa"/>
            <w:noWrap w:val="0"/>
            <w:vAlign w:val="center"/>
          </w:tcPr>
          <w:p w14:paraId="57BD1BC4">
            <w:pPr>
              <w:spacing w:line="400" w:lineRule="exact"/>
              <w:jc w:val="center"/>
              <w:rPr>
                <w:rFonts w:hint="default" w:ascii="方正仿宋_GBK" w:hAnsi="方正仿宋_GBK" w:eastAsia="方正仿宋_GBK" w:cs="方正仿宋_GBK"/>
                <w:sz w:val="24"/>
                <w:lang w:val="en-US"/>
              </w:rPr>
            </w:pPr>
            <w:r>
              <w:rPr>
                <w:rFonts w:hint="eastAsia" w:ascii="方正仿宋_GBK" w:hAnsi="方正仿宋_GBK" w:eastAsia="方正仿宋_GBK" w:cs="方正仿宋_GBK"/>
                <w:sz w:val="24"/>
                <w:lang w:val="en-US" w:eastAsia="zh-CN"/>
              </w:rPr>
              <w:t>所有计算数据及评分结果保留至小数点后两位，第三位四舍五入</w:t>
            </w:r>
          </w:p>
        </w:tc>
      </w:tr>
      <w:tr w14:paraId="7044B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2" w:hRule="atLeast"/>
          <w:jc w:val="center"/>
        </w:trPr>
        <w:tc>
          <w:tcPr>
            <w:tcW w:w="577" w:type="dxa"/>
            <w:vMerge w:val="restart"/>
            <w:noWrap w:val="0"/>
            <w:vAlign w:val="center"/>
          </w:tcPr>
          <w:p w14:paraId="2242A768">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rPr>
              <w:t>2</w:t>
            </w:r>
          </w:p>
        </w:tc>
        <w:tc>
          <w:tcPr>
            <w:tcW w:w="1333" w:type="dxa"/>
            <w:vMerge w:val="restart"/>
            <w:noWrap w:val="0"/>
            <w:vAlign w:val="center"/>
          </w:tcPr>
          <w:p w14:paraId="6C1DF3A7">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技术部分（</w:t>
            </w:r>
            <w:r>
              <w:rPr>
                <w:rFonts w:hint="eastAsia" w:ascii="方正仿宋_GBK" w:hAnsi="方正仿宋_GBK" w:eastAsia="方正仿宋_GBK" w:cs="方正仿宋_GBK"/>
                <w:sz w:val="24"/>
                <w:lang w:val="en-US" w:eastAsia="zh-CN"/>
              </w:rPr>
              <w:t>35</w:t>
            </w:r>
            <w:r>
              <w:rPr>
                <w:rFonts w:hint="eastAsia" w:ascii="方正仿宋_GBK" w:hAnsi="方正仿宋_GBK" w:eastAsia="方正仿宋_GBK" w:cs="方正仿宋_GBK"/>
                <w:sz w:val="24"/>
                <w:lang w:val="zh-CN"/>
              </w:rPr>
              <w:t>%）</w:t>
            </w:r>
          </w:p>
        </w:tc>
        <w:tc>
          <w:tcPr>
            <w:tcW w:w="1350" w:type="dxa"/>
            <w:noWrap w:val="0"/>
            <w:vAlign w:val="center"/>
          </w:tcPr>
          <w:p w14:paraId="3FEF30B9">
            <w:pPr>
              <w:spacing w:line="400" w:lineRule="exact"/>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验配服务</w:t>
            </w:r>
            <w:r>
              <w:rPr>
                <w:rFonts w:hint="eastAsia" w:ascii="方正仿宋_GBK" w:hAnsi="方正仿宋_GBK" w:eastAsia="方正仿宋_GBK" w:cs="方正仿宋_GBK"/>
                <w:sz w:val="24"/>
                <w:lang w:eastAsia="zh-CN"/>
              </w:rPr>
              <w:t>能力（</w:t>
            </w:r>
            <w:r>
              <w:rPr>
                <w:rFonts w:hint="eastAsia" w:ascii="方正仿宋_GBK" w:hAnsi="方正仿宋_GBK" w:eastAsia="方正仿宋_GBK" w:cs="方正仿宋_GBK"/>
                <w:sz w:val="24"/>
                <w:lang w:val="en-US" w:eastAsia="zh-CN"/>
              </w:rPr>
              <w:t>15分</w:t>
            </w:r>
            <w:r>
              <w:rPr>
                <w:rFonts w:hint="eastAsia" w:ascii="方正仿宋_GBK" w:hAnsi="方正仿宋_GBK" w:eastAsia="方正仿宋_GBK" w:cs="方正仿宋_GBK"/>
                <w:sz w:val="24"/>
                <w:lang w:eastAsia="zh-CN"/>
              </w:rPr>
              <w:t>）</w:t>
            </w:r>
          </w:p>
        </w:tc>
        <w:tc>
          <w:tcPr>
            <w:tcW w:w="4599" w:type="dxa"/>
            <w:noWrap w:val="0"/>
            <w:vAlign w:val="center"/>
          </w:tcPr>
          <w:p w14:paraId="51E4A660">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投标人应提供满足招标方需求的验配服务方案，包含:</w:t>
            </w:r>
          </w:p>
          <w:p w14:paraId="6CC00ECE">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（1）验配流程方案；</w:t>
            </w:r>
          </w:p>
          <w:p w14:paraId="20DDF2F2">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（2）验配服务方案；</w:t>
            </w:r>
          </w:p>
          <w:p w14:paraId="5972273E">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（3）应急服务方案；</w:t>
            </w:r>
          </w:p>
          <w:p w14:paraId="27681846">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（4）验配人员安排。</w:t>
            </w:r>
          </w:p>
          <w:p w14:paraId="2C954575">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方案内容不存在瑕疵的得</w:t>
            </w:r>
            <w:r>
              <w:rPr>
                <w:rFonts w:hint="eastAsia" w:ascii="方正仿宋_GBK" w:hAnsi="方正仿宋_GBK" w:eastAsia="方正仿宋_GBK" w:cs="方正仿宋_GBK"/>
                <w:sz w:val="24"/>
                <w:lang w:val="en-US" w:eastAsia="zh-CN"/>
              </w:rPr>
              <w:t>15</w:t>
            </w:r>
            <w:r>
              <w:rPr>
                <w:rFonts w:hint="eastAsia" w:ascii="方正仿宋_GBK" w:hAnsi="方正仿宋_GBK" w:eastAsia="方正仿宋_GBK" w:cs="方正仿宋_GBK"/>
                <w:sz w:val="24"/>
                <w:lang w:eastAsia="zh-CN"/>
              </w:rPr>
              <w:t>分；</w:t>
            </w:r>
          </w:p>
          <w:p w14:paraId="0CF47939">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方案内容存在1处瑕疵的得</w:t>
            </w:r>
            <w:r>
              <w:rPr>
                <w:rFonts w:hint="eastAsia" w:ascii="方正仿宋_GBK" w:hAnsi="方正仿宋_GBK" w:eastAsia="方正仿宋_GBK" w:cs="方正仿宋_GBK"/>
                <w:sz w:val="24"/>
                <w:lang w:val="en-US" w:eastAsia="zh-CN"/>
              </w:rPr>
              <w:t>12</w:t>
            </w:r>
            <w:r>
              <w:rPr>
                <w:rFonts w:hint="eastAsia" w:ascii="方正仿宋_GBK" w:hAnsi="方正仿宋_GBK" w:eastAsia="方正仿宋_GBK" w:cs="方正仿宋_GBK"/>
                <w:sz w:val="24"/>
                <w:lang w:eastAsia="zh-CN"/>
              </w:rPr>
              <w:t>分；</w:t>
            </w:r>
          </w:p>
          <w:p w14:paraId="34AE9427">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方案内容存在2处瑕疵的得</w:t>
            </w:r>
            <w:r>
              <w:rPr>
                <w:rFonts w:hint="eastAsia" w:ascii="方正仿宋_GBK" w:hAnsi="方正仿宋_GBK" w:eastAsia="方正仿宋_GBK" w:cs="方正仿宋_GBK"/>
                <w:sz w:val="24"/>
                <w:lang w:val="en-US" w:eastAsia="zh-CN"/>
              </w:rPr>
              <w:t>9</w:t>
            </w:r>
            <w:r>
              <w:rPr>
                <w:rFonts w:hint="eastAsia" w:ascii="方正仿宋_GBK" w:hAnsi="方正仿宋_GBK" w:eastAsia="方正仿宋_GBK" w:cs="方正仿宋_GBK"/>
                <w:sz w:val="24"/>
                <w:lang w:eastAsia="zh-CN"/>
              </w:rPr>
              <w:t>分；</w:t>
            </w:r>
          </w:p>
          <w:p w14:paraId="2EC0A9DF">
            <w:pPr>
              <w:spacing w:line="400" w:lineRule="exact"/>
              <w:jc w:val="left"/>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eastAsia="zh-CN"/>
              </w:rPr>
              <w:t>方案内容存在3处及以上瑕疵的得</w:t>
            </w:r>
            <w:r>
              <w:rPr>
                <w:rFonts w:hint="eastAsia" w:ascii="方正仿宋_GBK" w:hAnsi="方正仿宋_GBK" w:eastAsia="方正仿宋_GBK" w:cs="方正仿宋_GBK"/>
                <w:sz w:val="24"/>
                <w:lang w:val="en-US" w:eastAsia="zh-CN"/>
              </w:rPr>
              <w:t>6分；</w:t>
            </w:r>
          </w:p>
          <w:p w14:paraId="68981F8A">
            <w:pPr>
              <w:spacing w:line="4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未提供得0分。</w:t>
            </w:r>
          </w:p>
        </w:tc>
        <w:tc>
          <w:tcPr>
            <w:tcW w:w="2122" w:type="dxa"/>
            <w:vMerge w:val="restart"/>
            <w:noWrap w:val="0"/>
            <w:vAlign w:val="center"/>
          </w:tcPr>
          <w:p w14:paraId="3C948D97">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lang w:val="zh-CN" w:eastAsia="zh-CN"/>
              </w:rPr>
              <w:t>评标委员会</w:t>
            </w:r>
            <w:r>
              <w:rPr>
                <w:rFonts w:hint="eastAsia" w:ascii="方正仿宋_GBK" w:hAnsi="方正仿宋_GBK" w:eastAsia="方正仿宋_GBK" w:cs="方正仿宋_GBK"/>
                <w:sz w:val="24"/>
                <w:lang w:val="zh-CN"/>
              </w:rPr>
              <w:t>全体成员对投标人提供的</w:t>
            </w:r>
            <w:r>
              <w:rPr>
                <w:rFonts w:hint="eastAsia" w:ascii="方正仿宋_GBK" w:hAnsi="方正仿宋_GBK" w:eastAsia="方正仿宋_GBK" w:cs="方正仿宋_GBK"/>
                <w:sz w:val="24"/>
                <w:lang w:val="zh-CN" w:eastAsia="zh-CN"/>
              </w:rPr>
              <w:t>服务</w:t>
            </w:r>
            <w:r>
              <w:rPr>
                <w:rFonts w:hint="eastAsia" w:ascii="方正仿宋_GBK" w:hAnsi="方正仿宋_GBK" w:eastAsia="方正仿宋_GBK" w:cs="方正仿宋_GBK"/>
                <w:sz w:val="24"/>
                <w:lang w:val="zh-CN"/>
              </w:rPr>
              <w:t>部分每项独立进行评审打分汇总，取汇总分值的算术平均值为该投标人</w:t>
            </w:r>
            <w:r>
              <w:rPr>
                <w:rFonts w:hint="eastAsia" w:ascii="方正仿宋_GBK" w:hAnsi="方正仿宋_GBK" w:eastAsia="方正仿宋_GBK" w:cs="方正仿宋_GBK"/>
                <w:sz w:val="24"/>
                <w:lang w:val="zh-CN" w:eastAsia="zh-CN"/>
              </w:rPr>
              <w:t>服务</w:t>
            </w:r>
            <w:r>
              <w:rPr>
                <w:rFonts w:hint="eastAsia" w:ascii="方正仿宋_GBK" w:hAnsi="方正仿宋_GBK" w:eastAsia="方正仿宋_GBK" w:cs="方正仿宋_GBK"/>
                <w:sz w:val="24"/>
                <w:lang w:val="zh-CN"/>
              </w:rPr>
              <w:t>部分得分。得分保留至小数点后两位，第三位四舍五入</w:t>
            </w:r>
          </w:p>
          <w:p w14:paraId="75A65242">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注：供应商需提供服务方案。本项内容中所称的“瑕疵”指方案内容缺项、内容表述不完整或缺少关键分析点，方案内容表述前后矛盾、无连贯性，内容存在逻辑漏洞、常识错误、服务措施保障安排并不适用本项目特性或非专门针对本项目制定、方案中提出的措施举措不利于本项目目标的实现、现有技术条件下不可能出现的情形等任意一种情形。</w:t>
            </w:r>
          </w:p>
          <w:p w14:paraId="53605BCF">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2方案须建立在本项目使用场景之上，否则对应方案按0分处理。</w:t>
            </w:r>
          </w:p>
        </w:tc>
      </w:tr>
      <w:tr w14:paraId="2D2F8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Merge w:val="continue"/>
            <w:noWrap w:val="0"/>
            <w:vAlign w:val="center"/>
          </w:tcPr>
          <w:p w14:paraId="43C912C1">
            <w:pPr>
              <w:spacing w:line="400" w:lineRule="exact"/>
              <w:jc w:val="center"/>
              <w:rPr>
                <w:rFonts w:hint="eastAsia" w:ascii="方正仿宋_GBK" w:hAnsi="方正仿宋_GBK" w:eastAsia="方正仿宋_GBK" w:cs="方正仿宋_GBK"/>
                <w:sz w:val="24"/>
              </w:rPr>
            </w:pPr>
          </w:p>
        </w:tc>
        <w:tc>
          <w:tcPr>
            <w:tcW w:w="1333" w:type="dxa"/>
            <w:vMerge w:val="continue"/>
            <w:noWrap w:val="0"/>
            <w:vAlign w:val="center"/>
          </w:tcPr>
          <w:p w14:paraId="6CE5CC94">
            <w:pPr>
              <w:spacing w:line="400" w:lineRule="exact"/>
              <w:jc w:val="center"/>
              <w:rPr>
                <w:rFonts w:hint="eastAsia" w:ascii="方正仿宋_GBK" w:hAnsi="方正仿宋_GBK" w:eastAsia="方正仿宋_GBK" w:cs="方正仿宋_GBK"/>
                <w:sz w:val="24"/>
              </w:rPr>
            </w:pPr>
          </w:p>
        </w:tc>
        <w:tc>
          <w:tcPr>
            <w:tcW w:w="1350" w:type="dxa"/>
            <w:noWrap w:val="0"/>
            <w:vAlign w:val="center"/>
          </w:tcPr>
          <w:p w14:paraId="5A8FD661">
            <w:pPr>
              <w:spacing w:line="400" w:lineRule="exact"/>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质量保障与售后服务</w:t>
            </w:r>
            <w:r>
              <w:rPr>
                <w:rFonts w:hint="eastAsia" w:ascii="方正仿宋_GBK" w:hAnsi="方正仿宋_GBK" w:eastAsia="方正仿宋_GBK" w:cs="方正仿宋_GBK"/>
                <w:sz w:val="24"/>
                <w:lang w:val="en-US" w:eastAsia="zh-CN"/>
              </w:rPr>
              <w:t>（10分）</w:t>
            </w:r>
          </w:p>
        </w:tc>
        <w:tc>
          <w:tcPr>
            <w:tcW w:w="4599" w:type="dxa"/>
            <w:noWrap w:val="0"/>
            <w:vAlign w:val="center"/>
          </w:tcPr>
          <w:p w14:paraId="4C9D0F2C">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投标人应提供满足招标方需求的产品质量保障与售后服务方案，包含:</w:t>
            </w:r>
          </w:p>
          <w:p w14:paraId="33F79759">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（1）产品质量控制方案；</w:t>
            </w:r>
          </w:p>
          <w:p w14:paraId="62B8034D">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（2）投诉处理流程；</w:t>
            </w:r>
          </w:p>
          <w:p w14:paraId="2296779A">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（3）售后维修方案；</w:t>
            </w:r>
          </w:p>
          <w:p w14:paraId="090E394E">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方案内容不存在瑕疵的得</w:t>
            </w:r>
            <w:r>
              <w:rPr>
                <w:rFonts w:hint="eastAsia" w:ascii="方正仿宋_GBK" w:hAnsi="方正仿宋_GBK" w:eastAsia="方正仿宋_GBK" w:cs="方正仿宋_GBK"/>
                <w:sz w:val="24"/>
                <w:lang w:val="en-US" w:eastAsia="zh-CN"/>
              </w:rPr>
              <w:t>10</w:t>
            </w:r>
            <w:r>
              <w:rPr>
                <w:rFonts w:hint="eastAsia" w:ascii="方正仿宋_GBK" w:hAnsi="方正仿宋_GBK" w:eastAsia="方正仿宋_GBK" w:cs="方正仿宋_GBK"/>
                <w:sz w:val="24"/>
                <w:lang w:eastAsia="zh-CN"/>
              </w:rPr>
              <w:t>分；</w:t>
            </w:r>
          </w:p>
          <w:p w14:paraId="252DE7A6">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方案内容存在1处瑕疵的得</w:t>
            </w:r>
            <w:r>
              <w:rPr>
                <w:rFonts w:hint="eastAsia" w:ascii="方正仿宋_GBK" w:hAnsi="方正仿宋_GBK" w:eastAsia="方正仿宋_GBK" w:cs="方正仿宋_GBK"/>
                <w:sz w:val="24"/>
                <w:lang w:val="en-US" w:eastAsia="zh-CN"/>
              </w:rPr>
              <w:t>7</w:t>
            </w:r>
            <w:r>
              <w:rPr>
                <w:rFonts w:hint="eastAsia" w:ascii="方正仿宋_GBK" w:hAnsi="方正仿宋_GBK" w:eastAsia="方正仿宋_GBK" w:cs="方正仿宋_GBK"/>
                <w:sz w:val="24"/>
                <w:lang w:eastAsia="zh-CN"/>
              </w:rPr>
              <w:t>分；</w:t>
            </w:r>
          </w:p>
          <w:p w14:paraId="330BEB22">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方案内容存在2处瑕疵的得</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lang w:eastAsia="zh-CN"/>
              </w:rPr>
              <w:t>分；</w:t>
            </w:r>
          </w:p>
          <w:p w14:paraId="35A02B00">
            <w:pPr>
              <w:spacing w:line="400" w:lineRule="exact"/>
              <w:jc w:val="left"/>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eastAsia="zh-CN"/>
              </w:rPr>
              <w:t>方案内容存在3处及以上瑕疵的得</w:t>
            </w:r>
            <w:r>
              <w:rPr>
                <w:rFonts w:hint="eastAsia" w:ascii="方正仿宋_GBK" w:hAnsi="方正仿宋_GBK" w:eastAsia="方正仿宋_GBK" w:cs="方正仿宋_GBK"/>
                <w:sz w:val="24"/>
                <w:lang w:val="en-US" w:eastAsia="zh-CN"/>
              </w:rPr>
              <w:t>1分；</w:t>
            </w:r>
          </w:p>
          <w:p w14:paraId="2A64EFB6">
            <w:pPr>
              <w:spacing w:line="4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未提供得0分。</w:t>
            </w:r>
          </w:p>
        </w:tc>
        <w:tc>
          <w:tcPr>
            <w:tcW w:w="2122" w:type="dxa"/>
            <w:vMerge w:val="continue"/>
            <w:noWrap w:val="0"/>
            <w:vAlign w:val="center"/>
          </w:tcPr>
          <w:p w14:paraId="2CB384C5">
            <w:pPr>
              <w:spacing w:line="400" w:lineRule="exact"/>
              <w:jc w:val="center"/>
              <w:rPr>
                <w:rFonts w:hint="eastAsia" w:ascii="方正仿宋_GBK" w:hAnsi="方正仿宋_GBK" w:eastAsia="方正仿宋_GBK" w:cs="方正仿宋_GBK"/>
                <w:sz w:val="24"/>
              </w:rPr>
            </w:pPr>
          </w:p>
        </w:tc>
      </w:tr>
      <w:tr w14:paraId="04A10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Merge w:val="continue"/>
            <w:noWrap w:val="0"/>
            <w:vAlign w:val="center"/>
          </w:tcPr>
          <w:p w14:paraId="2F9B7D78">
            <w:pPr>
              <w:spacing w:line="400" w:lineRule="exact"/>
              <w:jc w:val="center"/>
              <w:rPr>
                <w:rFonts w:hint="eastAsia" w:ascii="方正仿宋_GBK" w:hAnsi="方正仿宋_GBK" w:eastAsia="方正仿宋_GBK" w:cs="方正仿宋_GBK"/>
                <w:sz w:val="24"/>
              </w:rPr>
            </w:pPr>
          </w:p>
        </w:tc>
        <w:tc>
          <w:tcPr>
            <w:tcW w:w="1333" w:type="dxa"/>
            <w:vMerge w:val="continue"/>
            <w:noWrap w:val="0"/>
            <w:vAlign w:val="center"/>
          </w:tcPr>
          <w:p w14:paraId="3D1C4F16">
            <w:pPr>
              <w:spacing w:line="400" w:lineRule="exact"/>
              <w:jc w:val="center"/>
              <w:rPr>
                <w:rFonts w:hint="eastAsia" w:ascii="方正仿宋_GBK" w:hAnsi="方正仿宋_GBK" w:eastAsia="方正仿宋_GBK" w:cs="方正仿宋_GBK"/>
                <w:sz w:val="24"/>
              </w:rPr>
            </w:pPr>
          </w:p>
        </w:tc>
        <w:tc>
          <w:tcPr>
            <w:tcW w:w="1350" w:type="dxa"/>
            <w:noWrap w:val="0"/>
            <w:vAlign w:val="center"/>
          </w:tcPr>
          <w:p w14:paraId="24E8359D">
            <w:pPr>
              <w:spacing w:line="400" w:lineRule="exact"/>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rPr>
              <w:t>增值服务</w:t>
            </w:r>
            <w:r>
              <w:rPr>
                <w:rFonts w:hint="eastAsia" w:ascii="方正仿宋_GBK" w:hAnsi="方正仿宋_GBK" w:eastAsia="方正仿宋_GBK" w:cs="方正仿宋_GBK"/>
                <w:sz w:val="24"/>
                <w:lang w:eastAsia="zh-CN"/>
              </w:rPr>
              <w:t>能力（</w:t>
            </w:r>
            <w:r>
              <w:rPr>
                <w:rFonts w:hint="eastAsia" w:ascii="方正仿宋_GBK" w:hAnsi="方正仿宋_GBK" w:eastAsia="方正仿宋_GBK" w:cs="方正仿宋_GBK"/>
                <w:sz w:val="24"/>
                <w:lang w:val="en-US" w:eastAsia="zh-CN"/>
              </w:rPr>
              <w:t>10分</w:t>
            </w:r>
            <w:r>
              <w:rPr>
                <w:rFonts w:hint="eastAsia" w:ascii="方正仿宋_GBK" w:hAnsi="方正仿宋_GBK" w:eastAsia="方正仿宋_GBK" w:cs="方正仿宋_GBK"/>
                <w:sz w:val="24"/>
                <w:lang w:eastAsia="zh-CN"/>
              </w:rPr>
              <w:t>）</w:t>
            </w:r>
          </w:p>
        </w:tc>
        <w:tc>
          <w:tcPr>
            <w:tcW w:w="4599" w:type="dxa"/>
            <w:noWrap w:val="0"/>
            <w:vAlign w:val="center"/>
          </w:tcPr>
          <w:p w14:paraId="1405E7D1">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投标人可提供其他增值服务，包含:</w:t>
            </w:r>
          </w:p>
          <w:p w14:paraId="253D235E">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（1）增值服务内容；</w:t>
            </w:r>
          </w:p>
          <w:p w14:paraId="78737968">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（2）服务保障措施；</w:t>
            </w:r>
          </w:p>
          <w:p w14:paraId="58D3B9F6">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方案内容不存在瑕疵的得</w:t>
            </w:r>
            <w:r>
              <w:rPr>
                <w:rFonts w:hint="eastAsia" w:ascii="方正仿宋_GBK" w:hAnsi="方正仿宋_GBK" w:eastAsia="方正仿宋_GBK" w:cs="方正仿宋_GBK"/>
                <w:sz w:val="24"/>
                <w:lang w:val="en-US" w:eastAsia="zh-CN"/>
              </w:rPr>
              <w:t>10</w:t>
            </w:r>
            <w:r>
              <w:rPr>
                <w:rFonts w:hint="eastAsia" w:ascii="方正仿宋_GBK" w:hAnsi="方正仿宋_GBK" w:eastAsia="方正仿宋_GBK" w:cs="方正仿宋_GBK"/>
                <w:sz w:val="24"/>
                <w:lang w:eastAsia="zh-CN"/>
              </w:rPr>
              <w:t>分；</w:t>
            </w:r>
          </w:p>
          <w:p w14:paraId="2DBF9E79">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方案内容存在1处瑕疵的得</w:t>
            </w:r>
            <w:r>
              <w:rPr>
                <w:rFonts w:hint="eastAsia" w:ascii="方正仿宋_GBK" w:hAnsi="方正仿宋_GBK" w:eastAsia="方正仿宋_GBK" w:cs="方正仿宋_GBK"/>
                <w:sz w:val="24"/>
                <w:lang w:val="en-US" w:eastAsia="zh-CN"/>
              </w:rPr>
              <w:t>7</w:t>
            </w:r>
            <w:r>
              <w:rPr>
                <w:rFonts w:hint="eastAsia" w:ascii="方正仿宋_GBK" w:hAnsi="方正仿宋_GBK" w:eastAsia="方正仿宋_GBK" w:cs="方正仿宋_GBK"/>
                <w:sz w:val="24"/>
                <w:lang w:eastAsia="zh-CN"/>
              </w:rPr>
              <w:t>分；</w:t>
            </w:r>
          </w:p>
          <w:p w14:paraId="7D5BEA4E">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方案内容存在2处瑕疵的得</w:t>
            </w: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lang w:eastAsia="zh-CN"/>
              </w:rPr>
              <w:t>分；</w:t>
            </w:r>
          </w:p>
          <w:p w14:paraId="560FDE9A">
            <w:pPr>
              <w:spacing w:line="400" w:lineRule="exact"/>
              <w:jc w:val="left"/>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eastAsia="zh-CN"/>
              </w:rPr>
              <w:t>方案内容存在3处及以上瑕疵的得</w:t>
            </w:r>
            <w:r>
              <w:rPr>
                <w:rFonts w:hint="eastAsia" w:ascii="方正仿宋_GBK" w:hAnsi="方正仿宋_GBK" w:eastAsia="方正仿宋_GBK" w:cs="方正仿宋_GBK"/>
                <w:sz w:val="24"/>
                <w:lang w:val="en-US" w:eastAsia="zh-CN"/>
              </w:rPr>
              <w:t>1分；</w:t>
            </w:r>
          </w:p>
          <w:p w14:paraId="77F6A9CD">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未提供得0分。</w:t>
            </w:r>
          </w:p>
        </w:tc>
        <w:tc>
          <w:tcPr>
            <w:tcW w:w="2122" w:type="dxa"/>
            <w:vMerge w:val="continue"/>
            <w:noWrap w:val="0"/>
            <w:vAlign w:val="center"/>
          </w:tcPr>
          <w:p w14:paraId="09B3D42A">
            <w:pPr>
              <w:spacing w:line="400" w:lineRule="exact"/>
              <w:jc w:val="center"/>
              <w:rPr>
                <w:rFonts w:hint="eastAsia" w:ascii="方正仿宋_GBK" w:hAnsi="方正仿宋_GBK" w:eastAsia="方正仿宋_GBK" w:cs="方正仿宋_GBK"/>
                <w:sz w:val="24"/>
                <w:lang w:val="zh-CN"/>
              </w:rPr>
            </w:pPr>
          </w:p>
        </w:tc>
      </w:tr>
      <w:tr w14:paraId="6A6BC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jc w:val="center"/>
        </w:trPr>
        <w:tc>
          <w:tcPr>
            <w:tcW w:w="577" w:type="dxa"/>
            <w:vMerge w:val="restart"/>
            <w:noWrap w:val="0"/>
            <w:vAlign w:val="center"/>
          </w:tcPr>
          <w:p w14:paraId="2F256101">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1333" w:type="dxa"/>
            <w:vMerge w:val="restart"/>
            <w:noWrap w:val="0"/>
            <w:vAlign w:val="center"/>
          </w:tcPr>
          <w:p w14:paraId="3BC60038">
            <w:pPr>
              <w:spacing w:line="400" w:lineRule="exact"/>
              <w:jc w:val="center"/>
              <w:rPr>
                <w:rFonts w:hint="eastAsia" w:ascii="方正仿宋_GBK" w:hAnsi="方正仿宋_GBK" w:eastAsia="方正仿宋_GBK" w:cs="方正仿宋_GBK"/>
                <w:sz w:val="24"/>
                <w:lang w:val="zh-CN"/>
              </w:rPr>
            </w:pPr>
            <w:r>
              <w:rPr>
                <w:rFonts w:hint="eastAsia" w:ascii="方正仿宋_GBK" w:hAnsi="方正仿宋_GBK" w:eastAsia="方正仿宋_GBK" w:cs="方正仿宋_GBK"/>
                <w:sz w:val="24"/>
                <w:lang w:val="zh-CN"/>
              </w:rPr>
              <w:t>商务</w:t>
            </w:r>
            <w:r>
              <w:rPr>
                <w:rFonts w:hint="eastAsia" w:ascii="方正仿宋_GBK" w:hAnsi="方正仿宋_GBK" w:eastAsia="方正仿宋_GBK" w:cs="方正仿宋_GBK"/>
                <w:sz w:val="24"/>
              </w:rPr>
              <w:t>部分</w:t>
            </w:r>
            <w:r>
              <w:rPr>
                <w:rFonts w:hint="eastAsia" w:ascii="方正仿宋_GBK" w:hAnsi="方正仿宋_GBK" w:eastAsia="方正仿宋_GBK" w:cs="方正仿宋_GBK"/>
                <w:sz w:val="24"/>
                <w:lang w:val="zh-CN"/>
              </w:rPr>
              <w:t>（</w:t>
            </w:r>
            <w:r>
              <w:rPr>
                <w:rFonts w:hint="eastAsia" w:ascii="方正仿宋_GBK" w:hAnsi="方正仿宋_GBK" w:eastAsia="方正仿宋_GBK" w:cs="方正仿宋_GBK"/>
                <w:sz w:val="24"/>
                <w:lang w:val="en-US" w:eastAsia="zh-CN"/>
              </w:rPr>
              <w:t>55</w:t>
            </w:r>
            <w:r>
              <w:rPr>
                <w:rFonts w:hint="eastAsia" w:ascii="方正仿宋_GBK" w:hAnsi="方正仿宋_GBK" w:eastAsia="方正仿宋_GBK" w:cs="方正仿宋_GBK"/>
                <w:sz w:val="24"/>
              </w:rPr>
              <w:t>%</w:t>
            </w:r>
            <w:r>
              <w:rPr>
                <w:rFonts w:hint="eastAsia" w:ascii="方正仿宋_GBK" w:hAnsi="方正仿宋_GBK" w:eastAsia="方正仿宋_GBK" w:cs="方正仿宋_GBK"/>
                <w:sz w:val="24"/>
                <w:lang w:val="zh-CN"/>
              </w:rPr>
              <w:t>）</w:t>
            </w:r>
          </w:p>
        </w:tc>
        <w:tc>
          <w:tcPr>
            <w:tcW w:w="1350" w:type="dxa"/>
            <w:noWrap w:val="0"/>
            <w:vAlign w:val="center"/>
          </w:tcPr>
          <w:p w14:paraId="35D6D517">
            <w:pPr>
              <w:spacing w:line="400" w:lineRule="exact"/>
              <w:jc w:val="center"/>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专家支持</w:t>
            </w:r>
            <w:r>
              <w:rPr>
                <w:rFonts w:hint="eastAsia" w:ascii="方正仿宋_GBK" w:hAnsi="方正仿宋_GBK" w:eastAsia="方正仿宋_GBK" w:cs="方正仿宋_GBK"/>
                <w:sz w:val="24"/>
                <w:lang w:val="en-US" w:eastAsia="zh-CN"/>
              </w:rPr>
              <w:t>（23分）</w:t>
            </w:r>
          </w:p>
        </w:tc>
        <w:tc>
          <w:tcPr>
            <w:tcW w:w="4599" w:type="dxa"/>
            <w:noWrap w:val="0"/>
            <w:vAlign w:val="center"/>
          </w:tcPr>
          <w:p w14:paraId="65B3F188">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投标人能协调和调用其全资关联医院的医生资源，指派的眼科医生需具有全日制硕士研究生及以上学历且具有眼科主治医师及以上职称；</w:t>
            </w:r>
          </w:p>
          <w:p w14:paraId="70937B17">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（1）眼科主治医师，每配备一名得2分，本项最多可得10分；</w:t>
            </w:r>
          </w:p>
          <w:p w14:paraId="10464C30">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（2）眼科副主任医师，每配备一名得4分，本项最多可得8分；</w:t>
            </w:r>
          </w:p>
          <w:p w14:paraId="15DA8614">
            <w:pPr>
              <w:spacing w:line="4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（3）眼科主任医师，每配备一名得5分，本项最多可得5分。</w:t>
            </w:r>
          </w:p>
        </w:tc>
        <w:tc>
          <w:tcPr>
            <w:tcW w:w="2122" w:type="dxa"/>
            <w:noWrap w:val="0"/>
            <w:vAlign w:val="center"/>
          </w:tcPr>
          <w:p w14:paraId="203207CD">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需提供指派人员的毕业证书、资格证书和</w:t>
            </w:r>
            <w:r>
              <w:rPr>
                <w:rFonts w:hint="eastAsia" w:ascii="方正仿宋_GBK" w:hAnsi="方正仿宋_GBK" w:eastAsia="方正仿宋_GBK" w:cs="方正仿宋_GBK"/>
                <w:sz w:val="24"/>
                <w:lang w:val="en-US" w:eastAsia="zh-CN"/>
              </w:rPr>
              <w:t>2025年8月至2026年1月</w:t>
            </w:r>
            <w:r>
              <w:rPr>
                <w:rFonts w:hint="eastAsia" w:ascii="方正仿宋_GBK" w:hAnsi="方正仿宋_GBK" w:eastAsia="方正仿宋_GBK" w:cs="方正仿宋_GBK"/>
                <w:sz w:val="24"/>
                <w:lang w:eastAsia="zh-CN"/>
              </w:rPr>
              <w:t>含投标人或其全资关联医院的社保流水复印件。</w:t>
            </w:r>
          </w:p>
        </w:tc>
      </w:tr>
      <w:tr w14:paraId="428DD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77" w:type="dxa"/>
            <w:vMerge w:val="continue"/>
            <w:noWrap w:val="0"/>
            <w:vAlign w:val="center"/>
          </w:tcPr>
          <w:p w14:paraId="76E154E2">
            <w:pPr>
              <w:spacing w:line="400" w:lineRule="exact"/>
              <w:jc w:val="center"/>
              <w:rPr>
                <w:rFonts w:hint="eastAsia" w:ascii="方正仿宋_GBK" w:hAnsi="方正仿宋_GBK" w:eastAsia="方正仿宋_GBK" w:cs="方正仿宋_GBK"/>
                <w:sz w:val="24"/>
              </w:rPr>
            </w:pPr>
          </w:p>
        </w:tc>
        <w:tc>
          <w:tcPr>
            <w:tcW w:w="1333" w:type="dxa"/>
            <w:vMerge w:val="continue"/>
            <w:noWrap w:val="0"/>
            <w:vAlign w:val="center"/>
          </w:tcPr>
          <w:p w14:paraId="0E9C3F7A">
            <w:pPr>
              <w:spacing w:line="400" w:lineRule="exact"/>
              <w:jc w:val="center"/>
              <w:rPr>
                <w:rFonts w:hint="eastAsia" w:ascii="方正仿宋_GBK" w:hAnsi="方正仿宋_GBK" w:eastAsia="方正仿宋_GBK" w:cs="方正仿宋_GBK"/>
                <w:sz w:val="24"/>
              </w:rPr>
            </w:pPr>
          </w:p>
        </w:tc>
        <w:tc>
          <w:tcPr>
            <w:tcW w:w="1350" w:type="dxa"/>
            <w:noWrap w:val="0"/>
            <w:vAlign w:val="center"/>
          </w:tcPr>
          <w:p w14:paraId="752607C5">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技术力量</w:t>
            </w:r>
          </w:p>
          <w:p w14:paraId="417EC08B">
            <w:pPr>
              <w:spacing w:line="400" w:lineRule="exact"/>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（8分）</w:t>
            </w:r>
          </w:p>
        </w:tc>
        <w:tc>
          <w:tcPr>
            <w:tcW w:w="4599" w:type="dxa"/>
            <w:noWrap w:val="0"/>
            <w:vAlign w:val="center"/>
          </w:tcPr>
          <w:p w14:paraId="0D72684E">
            <w:pPr>
              <w:spacing w:line="400" w:lineRule="exact"/>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1.投标人配备具有国家职业技能等级二级及以上眼镜验光员资格的技术人员，每配备1名得1分，本项最多可得2分。</w:t>
            </w:r>
          </w:p>
          <w:p w14:paraId="2E658E2B">
            <w:pPr>
              <w:spacing w:line="4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2.投标人配备有全日制本科及以上学历且具有卫生专业技术资格证书的眼视光技术师，每提供1名得2分，本项最多可得6分。</w:t>
            </w:r>
          </w:p>
        </w:tc>
        <w:tc>
          <w:tcPr>
            <w:tcW w:w="2122" w:type="dxa"/>
            <w:noWrap w:val="0"/>
            <w:vAlign w:val="center"/>
          </w:tcPr>
          <w:p w14:paraId="25891AD0">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需提供上述相关人员的毕业证书、资格证书和</w:t>
            </w:r>
            <w:r>
              <w:rPr>
                <w:rFonts w:hint="eastAsia" w:ascii="方正仿宋_GBK" w:hAnsi="方正仿宋_GBK" w:eastAsia="方正仿宋_GBK" w:cs="方正仿宋_GBK"/>
                <w:sz w:val="24"/>
                <w:lang w:val="en-US" w:eastAsia="zh-CN"/>
              </w:rPr>
              <w:t>2025年8月至2026年1月</w:t>
            </w:r>
            <w:r>
              <w:rPr>
                <w:rFonts w:hint="eastAsia" w:ascii="方正仿宋_GBK" w:hAnsi="方正仿宋_GBK" w:eastAsia="方正仿宋_GBK" w:cs="方正仿宋_GBK"/>
                <w:sz w:val="24"/>
                <w:lang w:eastAsia="zh-CN"/>
              </w:rPr>
              <w:t>含投标人本单位的社保流水复印件</w:t>
            </w:r>
          </w:p>
        </w:tc>
      </w:tr>
      <w:tr w14:paraId="0D68B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577" w:type="dxa"/>
            <w:vMerge w:val="continue"/>
            <w:noWrap w:val="0"/>
            <w:vAlign w:val="center"/>
          </w:tcPr>
          <w:p w14:paraId="1961160F">
            <w:pPr>
              <w:spacing w:line="400" w:lineRule="exact"/>
              <w:jc w:val="center"/>
              <w:rPr>
                <w:rFonts w:hint="eastAsia" w:ascii="方正仿宋_GBK" w:hAnsi="方正仿宋_GBK" w:eastAsia="方正仿宋_GBK" w:cs="方正仿宋_GBK"/>
                <w:sz w:val="24"/>
              </w:rPr>
            </w:pPr>
          </w:p>
        </w:tc>
        <w:tc>
          <w:tcPr>
            <w:tcW w:w="1333" w:type="dxa"/>
            <w:vMerge w:val="continue"/>
            <w:noWrap w:val="0"/>
            <w:vAlign w:val="center"/>
          </w:tcPr>
          <w:p w14:paraId="1786B860">
            <w:pPr>
              <w:spacing w:line="400" w:lineRule="exact"/>
              <w:jc w:val="center"/>
              <w:rPr>
                <w:rFonts w:hint="eastAsia" w:ascii="方正仿宋_GBK" w:hAnsi="方正仿宋_GBK" w:eastAsia="方正仿宋_GBK" w:cs="方正仿宋_GBK"/>
                <w:sz w:val="24"/>
              </w:rPr>
            </w:pPr>
          </w:p>
        </w:tc>
        <w:tc>
          <w:tcPr>
            <w:tcW w:w="1350" w:type="dxa"/>
            <w:noWrap w:val="0"/>
            <w:vAlign w:val="center"/>
          </w:tcPr>
          <w:p w14:paraId="1DCB2F4D">
            <w:pPr>
              <w:spacing w:line="400" w:lineRule="exact"/>
              <w:jc w:val="center"/>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lang w:eastAsia="zh-CN"/>
              </w:rPr>
              <w:t>业绩（</w:t>
            </w:r>
            <w:r>
              <w:rPr>
                <w:rFonts w:hint="eastAsia" w:ascii="方正仿宋_GBK" w:hAnsi="方正仿宋_GBK" w:eastAsia="方正仿宋_GBK" w:cs="方正仿宋_GBK"/>
                <w:sz w:val="24"/>
                <w:lang w:val="en-US" w:eastAsia="zh-CN"/>
              </w:rPr>
              <w:t>15分</w:t>
            </w:r>
            <w:r>
              <w:rPr>
                <w:rFonts w:hint="eastAsia" w:ascii="方正仿宋_GBK" w:hAnsi="方正仿宋_GBK" w:eastAsia="方正仿宋_GBK" w:cs="方正仿宋_GBK"/>
                <w:sz w:val="24"/>
                <w:lang w:eastAsia="zh-CN"/>
              </w:rPr>
              <w:t>）</w:t>
            </w:r>
          </w:p>
        </w:tc>
        <w:tc>
          <w:tcPr>
            <w:tcW w:w="4599" w:type="dxa"/>
            <w:noWrap w:val="0"/>
            <w:vAlign w:val="center"/>
          </w:tcPr>
          <w:p w14:paraId="2476FFE2">
            <w:pPr>
              <w:spacing w:line="4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投标人具有类似业绩的。每提供一个得3分，最多得15分。</w:t>
            </w:r>
          </w:p>
        </w:tc>
        <w:tc>
          <w:tcPr>
            <w:tcW w:w="2122" w:type="dxa"/>
            <w:noWrap w:val="0"/>
            <w:vAlign w:val="center"/>
          </w:tcPr>
          <w:p w14:paraId="20964DB3">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投标人需提供合同复印件，并加盖供应商公章</w:t>
            </w:r>
          </w:p>
        </w:tc>
      </w:tr>
      <w:tr w14:paraId="0D53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77" w:type="dxa"/>
            <w:vMerge w:val="continue"/>
            <w:noWrap w:val="0"/>
            <w:vAlign w:val="center"/>
          </w:tcPr>
          <w:p w14:paraId="0EBEE314">
            <w:pPr>
              <w:spacing w:line="400" w:lineRule="exact"/>
              <w:jc w:val="center"/>
              <w:rPr>
                <w:rFonts w:hint="eastAsia" w:ascii="方正仿宋_GBK" w:hAnsi="方正仿宋_GBK" w:eastAsia="方正仿宋_GBK" w:cs="方正仿宋_GBK"/>
                <w:sz w:val="24"/>
              </w:rPr>
            </w:pPr>
          </w:p>
        </w:tc>
        <w:tc>
          <w:tcPr>
            <w:tcW w:w="1333" w:type="dxa"/>
            <w:vMerge w:val="continue"/>
            <w:noWrap w:val="0"/>
            <w:vAlign w:val="center"/>
          </w:tcPr>
          <w:p w14:paraId="325B6D4F">
            <w:pPr>
              <w:spacing w:line="400" w:lineRule="exact"/>
              <w:jc w:val="center"/>
              <w:rPr>
                <w:rFonts w:hint="eastAsia" w:ascii="方正仿宋_GBK" w:hAnsi="方正仿宋_GBK" w:eastAsia="方正仿宋_GBK" w:cs="方正仿宋_GBK"/>
                <w:sz w:val="24"/>
              </w:rPr>
            </w:pPr>
          </w:p>
        </w:tc>
        <w:tc>
          <w:tcPr>
            <w:tcW w:w="1350" w:type="dxa"/>
            <w:noWrap w:val="0"/>
            <w:vAlign w:val="center"/>
          </w:tcPr>
          <w:p w14:paraId="72842EBD">
            <w:pPr>
              <w:spacing w:line="400" w:lineRule="exact"/>
              <w:jc w:val="center"/>
              <w:rPr>
                <w:rFonts w:hint="eastAsia"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校园筛查经验（9分）</w:t>
            </w:r>
          </w:p>
        </w:tc>
        <w:tc>
          <w:tcPr>
            <w:tcW w:w="4599" w:type="dxa"/>
            <w:noWrap w:val="0"/>
            <w:vAlign w:val="center"/>
          </w:tcPr>
          <w:p w14:paraId="6F073A03">
            <w:pPr>
              <w:spacing w:line="40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投标人具有开展校园视力筛查或视觉健康相关项目的经验。每提供一个得</w:t>
            </w:r>
            <w:r>
              <w:rPr>
                <w:rFonts w:hint="eastAsia" w:ascii="方正仿宋_GBK" w:hAnsi="方正仿宋_GBK" w:eastAsia="方正仿宋_GBK" w:cs="方正仿宋_GBK"/>
                <w:sz w:val="24"/>
                <w:lang w:val="en-US" w:eastAsia="zh-CN"/>
              </w:rPr>
              <w:t>3分</w:t>
            </w:r>
            <w:r>
              <w:rPr>
                <w:rFonts w:hint="eastAsia" w:ascii="方正仿宋_GBK" w:hAnsi="方正仿宋_GBK" w:eastAsia="方正仿宋_GBK" w:cs="方正仿宋_GBK"/>
                <w:sz w:val="24"/>
                <w:lang w:eastAsia="zh-CN"/>
              </w:rPr>
              <w:t>，本项最多可得9分。</w:t>
            </w:r>
          </w:p>
        </w:tc>
        <w:tc>
          <w:tcPr>
            <w:tcW w:w="2122" w:type="dxa"/>
            <w:noWrap w:val="0"/>
            <w:vAlign w:val="center"/>
          </w:tcPr>
          <w:p w14:paraId="727EC144">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lang w:eastAsia="zh-CN"/>
              </w:rPr>
              <w:t>投标人需提供合同复印件，并加盖供应商公章</w:t>
            </w:r>
          </w:p>
        </w:tc>
      </w:tr>
    </w:tbl>
    <w:p w14:paraId="599CD2B4">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（二）报价方式</w:t>
      </w:r>
    </w:p>
    <w:tbl>
      <w:tblPr>
        <w:tblStyle w:val="10"/>
        <w:tblpPr w:leftFromText="180" w:rightFromText="180" w:vertAnchor="text" w:horzAnchor="page" w:tblpXSpec="center" w:tblpY="201"/>
        <w:tblOverlap w:val="never"/>
        <w:tblW w:w="5322" w:type="pct"/>
        <w:jc w:val="center"/>
        <w:tblLayout w:type="autofit"/>
        <w:tblCellMar>
          <w:top w:w="0" w:type="dxa"/>
          <w:left w:w="10" w:type="dxa"/>
          <w:bottom w:w="0" w:type="dxa"/>
          <w:right w:w="10" w:type="dxa"/>
        </w:tblCellMar>
      </w:tblPr>
      <w:tblGrid>
        <w:gridCol w:w="3244"/>
        <w:gridCol w:w="2823"/>
        <w:gridCol w:w="3578"/>
      </w:tblGrid>
      <w:tr w14:paraId="58CD32D5">
        <w:tblPrEx>
          <w:tblCellMar>
            <w:top w:w="0" w:type="dxa"/>
            <w:left w:w="10" w:type="dxa"/>
            <w:bottom w:w="0" w:type="dxa"/>
            <w:right w:w="10" w:type="dxa"/>
          </w:tblCellMar>
        </w:tblPrEx>
        <w:trPr>
          <w:trHeight w:val="176" w:hRule="atLeast"/>
          <w:jc w:val="center"/>
        </w:trPr>
        <w:tc>
          <w:tcPr>
            <w:tcW w:w="1681"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491418BA">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项目</w:t>
            </w:r>
          </w:p>
        </w:tc>
        <w:tc>
          <w:tcPr>
            <w:tcW w:w="1463"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040F81DE">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项目编号</w:t>
            </w:r>
          </w:p>
        </w:tc>
        <w:tc>
          <w:tcPr>
            <w:tcW w:w="1854"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76068B7C">
            <w:pPr>
              <w:spacing w:line="400" w:lineRule="exact"/>
              <w:jc w:val="center"/>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报价</w:t>
            </w:r>
          </w:p>
        </w:tc>
      </w:tr>
      <w:tr w14:paraId="75C43374">
        <w:tblPrEx>
          <w:tblCellMar>
            <w:top w:w="0" w:type="dxa"/>
            <w:left w:w="10" w:type="dxa"/>
            <w:bottom w:w="0" w:type="dxa"/>
            <w:right w:w="10" w:type="dxa"/>
          </w:tblCellMar>
        </w:tblPrEx>
        <w:trPr>
          <w:trHeight w:val="652" w:hRule="atLeast"/>
          <w:jc w:val="center"/>
        </w:trPr>
        <w:tc>
          <w:tcPr>
            <w:tcW w:w="1681"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14E027C2">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重庆市大足区人民医院</w:t>
            </w:r>
          </w:p>
          <w:p w14:paraId="13626CD1">
            <w:pPr>
              <w:spacing w:line="400" w:lineRule="exact"/>
              <w:jc w:val="center"/>
              <w:rPr>
                <w:rFonts w:ascii="方正仿宋_GBK" w:hAnsi="方正仿宋_GBK" w:eastAsia="方正仿宋_GBK" w:cs="方正仿宋_GBK"/>
                <w:sz w:val="24"/>
              </w:rPr>
            </w:pPr>
            <w:r>
              <w:rPr>
                <w:rFonts w:hint="eastAsia" w:ascii="方正仿宋_GBK" w:hAnsi="方正仿宋_GBK" w:eastAsia="方正仿宋_GBK" w:cs="方正仿宋_GBK"/>
                <w:sz w:val="24"/>
              </w:rPr>
              <w:t>眼科视光中心项目</w:t>
            </w:r>
          </w:p>
        </w:tc>
        <w:tc>
          <w:tcPr>
            <w:tcW w:w="1463"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6B1EF482">
            <w:pPr>
              <w:spacing w:line="400" w:lineRule="exact"/>
              <w:jc w:val="center"/>
              <w:rPr>
                <w:rFonts w:ascii="方正仿宋_GBK" w:hAnsi="方正仿宋_GBK" w:eastAsia="方正仿宋_GBK" w:cs="方正仿宋_GBK"/>
                <w:sz w:val="24"/>
              </w:rPr>
            </w:pPr>
          </w:p>
        </w:tc>
        <w:tc>
          <w:tcPr>
            <w:tcW w:w="1854" w:type="pct"/>
            <w:tcBorders>
              <w:top w:val="single" w:color="auto" w:sz="8" w:space="0"/>
              <w:left w:val="single" w:color="auto" w:sz="8" w:space="0"/>
              <w:bottom w:val="single" w:color="auto" w:sz="8" w:space="0"/>
              <w:right w:val="single" w:color="auto" w:sz="8" w:space="0"/>
            </w:tcBorders>
            <w:shd w:val="clear" w:color="000000" w:fill="FFFFFF"/>
            <w:tcMar>
              <w:left w:w="108" w:type="dxa"/>
              <w:right w:w="108" w:type="dxa"/>
            </w:tcMar>
            <w:vAlign w:val="center"/>
          </w:tcPr>
          <w:p w14:paraId="327A7D77">
            <w:pPr>
              <w:spacing w:line="400" w:lineRule="exact"/>
              <w:jc w:val="center"/>
              <w:rPr>
                <w:rFonts w:ascii="方正仿宋_GBK" w:hAnsi="方正仿宋_GBK" w:eastAsia="方正仿宋_GBK" w:cs="方正仿宋_GBK"/>
                <w:sz w:val="24"/>
              </w:rPr>
            </w:pPr>
            <w:r>
              <w:rPr>
                <w:rFonts w:ascii="Times New Roman" w:hAnsi="Times New Roman" w:eastAsia="方正仿宋_GBK" w:cs="Times New Roman"/>
                <w:sz w:val="24"/>
              </w:rPr>
              <w:t>管理费率</w:t>
            </w:r>
            <w:r>
              <w:rPr>
                <w:rFonts w:ascii="Times New Roman" w:hAnsi="Times New Roman" w:eastAsia="方正仿宋_GBK" w:cs="Times New Roman"/>
                <w:sz w:val="24"/>
                <w:u w:val="single"/>
              </w:rPr>
              <w:t xml:space="preserve">       </w:t>
            </w:r>
            <w:r>
              <w:rPr>
                <w:rFonts w:ascii="Times New Roman" w:hAnsi="Times New Roman" w:eastAsia="方正仿宋_GBK" w:cs="Times New Roman"/>
                <w:sz w:val="24"/>
              </w:rPr>
              <w:t>%</w:t>
            </w:r>
          </w:p>
        </w:tc>
      </w:tr>
    </w:tbl>
    <w:p w14:paraId="2A75FA49">
      <w:pPr>
        <w:rPr>
          <w:rFonts w:ascii="方正仿宋_GBK" w:hAnsi="方正仿宋_GBK" w:eastAsia="方正仿宋_GBK" w:cs="方正仿宋_GBK"/>
        </w:rPr>
      </w:pPr>
    </w:p>
    <w:p w14:paraId="0CC501AF">
      <w:pPr>
        <w:rPr>
          <w:rFonts w:ascii="仿宋" w:hAnsi="仿宋" w:eastAsia="仿宋" w:cs="仿宋"/>
        </w:rPr>
      </w:pPr>
    </w:p>
    <w:p w14:paraId="4EE181A6">
      <w:pPr>
        <w:rPr>
          <w:rFonts w:ascii="仿宋" w:hAnsi="仿宋" w:eastAsia="仿宋" w:cs="仿宋"/>
        </w:rPr>
      </w:pPr>
    </w:p>
    <w:p w14:paraId="5523E9E2">
      <w:pPr>
        <w:rPr>
          <w:rFonts w:ascii="仿宋" w:hAnsi="仿宋" w:eastAsia="仿宋" w:cs="仿宋"/>
        </w:rPr>
      </w:pPr>
    </w:p>
    <w:p w14:paraId="13029BE0">
      <w:pPr>
        <w:rPr>
          <w:rFonts w:ascii="仿宋" w:hAnsi="仿宋" w:eastAsia="仿宋" w:cs="仿宋"/>
        </w:rPr>
      </w:pPr>
    </w:p>
    <w:p w14:paraId="4BB38728">
      <w:pPr>
        <w:rPr>
          <w:rFonts w:ascii="仿宋" w:hAnsi="仿宋" w:eastAsia="仿宋" w:cs="仿宋"/>
        </w:rPr>
      </w:pPr>
    </w:p>
    <w:p w14:paraId="587919EA">
      <w:pPr>
        <w:pStyle w:val="7"/>
        <w:rPr>
          <w:rFonts w:ascii="仿宋" w:hAnsi="仿宋" w:eastAsia="仿宋" w:cs="仿宋"/>
        </w:rPr>
      </w:pPr>
    </w:p>
    <w:p w14:paraId="1385B309">
      <w:pPr>
        <w:rPr>
          <w:rFonts w:ascii="方正仿宋_GBK" w:hAnsi="方正仿宋_GBK" w:eastAsia="方正仿宋_GBK" w:cs="方正仿宋_GBK"/>
        </w:rPr>
      </w:pPr>
    </w:p>
    <w:sectPr>
      <w:headerReference r:id="rId3" w:type="default"/>
      <w:footerReference r:id="rId4"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1" w:fontKey="{8C79A201-31EA-44B8-A2F0-38377C6FEE1A}"/>
  </w:font>
  <w:font w:name="方正仿宋_GBK">
    <w:altName w:val="微软雅黑"/>
    <w:panose1 w:val="03000509000000000000"/>
    <w:charset w:val="86"/>
    <w:family w:val="script"/>
    <w:pitch w:val="default"/>
    <w:sig w:usb0="00000000" w:usb1="00000000" w:usb2="00000000" w:usb3="00000000" w:csb0="00040000" w:csb1="00000000"/>
    <w:embedRegular r:id="rId2" w:fontKey="{EB520D2B-C7A0-4E05-BDCC-844ABE63C66D}"/>
  </w:font>
  <w:font w:name="微软雅黑">
    <w:panose1 w:val="020B0503020204020204"/>
    <w:charset w:val="86"/>
    <w:family w:val="auto"/>
    <w:pitch w:val="default"/>
    <w:sig w:usb0="80000287" w:usb1="280F3C52" w:usb2="00000016" w:usb3="00000000" w:csb0="0004001F" w:csb1="00000000"/>
  </w:font>
  <w:font w:name="方正小标宋_GBK">
    <w:panose1 w:val="02000000000000000000"/>
    <w:charset w:val="86"/>
    <w:family w:val="script"/>
    <w:pitch w:val="default"/>
    <w:sig w:usb0="A00002BF" w:usb1="38CF7CFA" w:usb2="00082016" w:usb3="00000000" w:csb0="00040001" w:csb1="00000000"/>
    <w:embedRegular r:id="rId3" w:fontKey="{7609A65F-FF3C-40FB-BFDC-E6750107D577}"/>
  </w:font>
  <w:font w:name="方正黑体_GBK">
    <w:panose1 w:val="02010600010101010101"/>
    <w:charset w:val="86"/>
    <w:family w:val="script"/>
    <w:pitch w:val="default"/>
    <w:sig w:usb0="00000001" w:usb1="080E0000" w:usb2="00000000" w:usb3="00000000" w:csb0="00040000" w:csb1="00000000"/>
    <w:embedRegular r:id="rId4" w:fontKey="{C90F7CF1-1FF1-499A-96EE-237F471DC261}"/>
  </w:font>
  <w:font w:name="方正楷体_GBK">
    <w:panose1 w:val="02000000000000000000"/>
    <w:charset w:val="86"/>
    <w:family w:val="script"/>
    <w:pitch w:val="default"/>
    <w:sig w:usb0="800002BF" w:usb1="38CF7CFA" w:usb2="00000016" w:usb3="00000000" w:csb0="00040000" w:csb1="00000000"/>
    <w:embedRegular r:id="rId5" w:fontKey="{E61E3049-E656-4600-A9B0-945E28EBACFD}"/>
  </w:font>
  <w:font w:name="仿宋_GB2312">
    <w:panose1 w:val="02010609030101010101"/>
    <w:charset w:val="86"/>
    <w:family w:val="modern"/>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方正仿宋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E8625">
    <w:pPr>
      <w:spacing w:line="169" w:lineRule="auto"/>
      <w:ind w:left="4542"/>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FEC1B1">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58FEC1B1">
                    <w:pPr>
                      <w:pStyle w:val="5"/>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14</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F2749">
    <w:pPr>
      <w:pStyle w:val="2"/>
      <w:spacing w:line="291" w:lineRule="auto"/>
    </w:pPr>
  </w:p>
  <w:p w14:paraId="6830DBC7">
    <w:pPr>
      <w:spacing w:before="9" w:line="19" w:lineRule="exact"/>
      <w:ind w:firstLine="14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152485"/>
    <w:rsid w:val="00003BD8"/>
    <w:rsid w:val="005A47D0"/>
    <w:rsid w:val="00F82D54"/>
    <w:rsid w:val="00FE7B94"/>
    <w:rsid w:val="03BE185C"/>
    <w:rsid w:val="03CC18D2"/>
    <w:rsid w:val="03F4702C"/>
    <w:rsid w:val="0471327D"/>
    <w:rsid w:val="054900A7"/>
    <w:rsid w:val="057C377D"/>
    <w:rsid w:val="06222576"/>
    <w:rsid w:val="06304C93"/>
    <w:rsid w:val="071765A9"/>
    <w:rsid w:val="07397B77"/>
    <w:rsid w:val="079B25E0"/>
    <w:rsid w:val="081D1247"/>
    <w:rsid w:val="08CA47FF"/>
    <w:rsid w:val="093A1985"/>
    <w:rsid w:val="095F38C8"/>
    <w:rsid w:val="09A3752A"/>
    <w:rsid w:val="0A222B45"/>
    <w:rsid w:val="0B9D61FB"/>
    <w:rsid w:val="0C2B75A0"/>
    <w:rsid w:val="0C5E598A"/>
    <w:rsid w:val="0D116EA1"/>
    <w:rsid w:val="0D933D59"/>
    <w:rsid w:val="0F386966"/>
    <w:rsid w:val="10463305"/>
    <w:rsid w:val="10615A49"/>
    <w:rsid w:val="11BF511D"/>
    <w:rsid w:val="11D81D3B"/>
    <w:rsid w:val="136062A7"/>
    <w:rsid w:val="13613E10"/>
    <w:rsid w:val="152908A6"/>
    <w:rsid w:val="16F947A3"/>
    <w:rsid w:val="183A72AB"/>
    <w:rsid w:val="18565B2F"/>
    <w:rsid w:val="18697B91"/>
    <w:rsid w:val="190F698A"/>
    <w:rsid w:val="1A0C111B"/>
    <w:rsid w:val="1A152485"/>
    <w:rsid w:val="1A165AF6"/>
    <w:rsid w:val="1B216501"/>
    <w:rsid w:val="1B662AAD"/>
    <w:rsid w:val="1BAA299A"/>
    <w:rsid w:val="1C630549"/>
    <w:rsid w:val="1D70376F"/>
    <w:rsid w:val="1D9141D9"/>
    <w:rsid w:val="1D9531D6"/>
    <w:rsid w:val="1E6257AE"/>
    <w:rsid w:val="1E636E30"/>
    <w:rsid w:val="1E8B4776"/>
    <w:rsid w:val="1EAF2075"/>
    <w:rsid w:val="1EC61D70"/>
    <w:rsid w:val="20042639"/>
    <w:rsid w:val="2203697F"/>
    <w:rsid w:val="22421B7E"/>
    <w:rsid w:val="22BE570A"/>
    <w:rsid w:val="23571659"/>
    <w:rsid w:val="242D3E55"/>
    <w:rsid w:val="24877D1C"/>
    <w:rsid w:val="25441769"/>
    <w:rsid w:val="25457290"/>
    <w:rsid w:val="26F24198"/>
    <w:rsid w:val="27541A0C"/>
    <w:rsid w:val="27570C9B"/>
    <w:rsid w:val="278A344E"/>
    <w:rsid w:val="27D053C6"/>
    <w:rsid w:val="28B05368"/>
    <w:rsid w:val="29C72623"/>
    <w:rsid w:val="2A0E67EA"/>
    <w:rsid w:val="2ADE61BC"/>
    <w:rsid w:val="2B1240B8"/>
    <w:rsid w:val="2B147E30"/>
    <w:rsid w:val="2C6D018F"/>
    <w:rsid w:val="2CFE45DC"/>
    <w:rsid w:val="2D236108"/>
    <w:rsid w:val="2DD2309E"/>
    <w:rsid w:val="2E5F3A98"/>
    <w:rsid w:val="2EE43FBD"/>
    <w:rsid w:val="2EFC1307"/>
    <w:rsid w:val="2F4A2072"/>
    <w:rsid w:val="300E44F8"/>
    <w:rsid w:val="30A53B77"/>
    <w:rsid w:val="31526E09"/>
    <w:rsid w:val="32026C34"/>
    <w:rsid w:val="32BB5EFE"/>
    <w:rsid w:val="33266952"/>
    <w:rsid w:val="33E11B47"/>
    <w:rsid w:val="34380934"/>
    <w:rsid w:val="37756591"/>
    <w:rsid w:val="37CE75B8"/>
    <w:rsid w:val="386D5023"/>
    <w:rsid w:val="39023595"/>
    <w:rsid w:val="39AD4E27"/>
    <w:rsid w:val="39BB21D7"/>
    <w:rsid w:val="3A0E1EEE"/>
    <w:rsid w:val="3AC07D8A"/>
    <w:rsid w:val="3B083614"/>
    <w:rsid w:val="3B5129DA"/>
    <w:rsid w:val="3BA7205E"/>
    <w:rsid w:val="3BE072BB"/>
    <w:rsid w:val="3BFE7A6F"/>
    <w:rsid w:val="3C0E4D17"/>
    <w:rsid w:val="3DCC00F6"/>
    <w:rsid w:val="3DD05E38"/>
    <w:rsid w:val="3F566811"/>
    <w:rsid w:val="3F9439D5"/>
    <w:rsid w:val="3FA35162"/>
    <w:rsid w:val="40B437EF"/>
    <w:rsid w:val="42DA32B5"/>
    <w:rsid w:val="42E3660E"/>
    <w:rsid w:val="4309116E"/>
    <w:rsid w:val="44604024"/>
    <w:rsid w:val="45216F7A"/>
    <w:rsid w:val="45C83899"/>
    <w:rsid w:val="48142DC6"/>
    <w:rsid w:val="4840005F"/>
    <w:rsid w:val="48A979B2"/>
    <w:rsid w:val="48F0570B"/>
    <w:rsid w:val="48F86243"/>
    <w:rsid w:val="491F7F3F"/>
    <w:rsid w:val="49B26D3A"/>
    <w:rsid w:val="4A1C41B3"/>
    <w:rsid w:val="4A2A4B22"/>
    <w:rsid w:val="4A3B6D2F"/>
    <w:rsid w:val="4AB663B6"/>
    <w:rsid w:val="4ADF76BB"/>
    <w:rsid w:val="4B0940A8"/>
    <w:rsid w:val="4B241572"/>
    <w:rsid w:val="4BEA588D"/>
    <w:rsid w:val="4C107D48"/>
    <w:rsid w:val="4C9269AF"/>
    <w:rsid w:val="4CA54072"/>
    <w:rsid w:val="4CD01F92"/>
    <w:rsid w:val="4CF3563A"/>
    <w:rsid w:val="4DE95163"/>
    <w:rsid w:val="4E985E04"/>
    <w:rsid w:val="4F844CD5"/>
    <w:rsid w:val="506942C1"/>
    <w:rsid w:val="52923265"/>
    <w:rsid w:val="53205747"/>
    <w:rsid w:val="540C1EA6"/>
    <w:rsid w:val="55110DB9"/>
    <w:rsid w:val="559D089E"/>
    <w:rsid w:val="55F2582B"/>
    <w:rsid w:val="57783371"/>
    <w:rsid w:val="589D12CB"/>
    <w:rsid w:val="593051DB"/>
    <w:rsid w:val="5A6E2809"/>
    <w:rsid w:val="5A9D7C81"/>
    <w:rsid w:val="5B286CA1"/>
    <w:rsid w:val="5D1371D9"/>
    <w:rsid w:val="5D1B0E3A"/>
    <w:rsid w:val="5F5F6A92"/>
    <w:rsid w:val="5F8605F5"/>
    <w:rsid w:val="5FD70E51"/>
    <w:rsid w:val="60093A40"/>
    <w:rsid w:val="612E684E"/>
    <w:rsid w:val="6190031C"/>
    <w:rsid w:val="62E0626E"/>
    <w:rsid w:val="62EC69C1"/>
    <w:rsid w:val="63EB4ECB"/>
    <w:rsid w:val="63F91396"/>
    <w:rsid w:val="64882719"/>
    <w:rsid w:val="64917820"/>
    <w:rsid w:val="66293A88"/>
    <w:rsid w:val="66B15F58"/>
    <w:rsid w:val="671F55B7"/>
    <w:rsid w:val="673152EA"/>
    <w:rsid w:val="67CD7FE6"/>
    <w:rsid w:val="691722BE"/>
    <w:rsid w:val="694A6F52"/>
    <w:rsid w:val="69FD7706"/>
    <w:rsid w:val="6A386990"/>
    <w:rsid w:val="6ADC731B"/>
    <w:rsid w:val="6B680BAF"/>
    <w:rsid w:val="6CCA7D15"/>
    <w:rsid w:val="6D8707E5"/>
    <w:rsid w:val="6DB72BE9"/>
    <w:rsid w:val="6E0E4514"/>
    <w:rsid w:val="6E427DDD"/>
    <w:rsid w:val="6E505802"/>
    <w:rsid w:val="6F2B6AC3"/>
    <w:rsid w:val="72A92D31"/>
    <w:rsid w:val="72BD5898"/>
    <w:rsid w:val="73682173"/>
    <w:rsid w:val="73740A39"/>
    <w:rsid w:val="7388084A"/>
    <w:rsid w:val="73DC65DE"/>
    <w:rsid w:val="73E87CBD"/>
    <w:rsid w:val="74235FBB"/>
    <w:rsid w:val="75801C9B"/>
    <w:rsid w:val="77DA6296"/>
    <w:rsid w:val="78A2146F"/>
    <w:rsid w:val="791B54B2"/>
    <w:rsid w:val="79C268F7"/>
    <w:rsid w:val="79EF3042"/>
    <w:rsid w:val="7D250FF6"/>
    <w:rsid w:val="7E3D271A"/>
    <w:rsid w:val="7E9957F7"/>
    <w:rsid w:val="7E9C4D31"/>
    <w:rsid w:val="7F1C16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keepNext/>
      <w:keepLines/>
      <w:spacing w:before="260" w:after="260" w:line="413" w:lineRule="auto"/>
      <w:outlineLvl w:val="2"/>
    </w:pPr>
    <w:rPr>
      <w:b/>
      <w:sz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qFormat/>
    <w:uiPriority w:val="0"/>
    <w:rPr>
      <w:rFonts w:ascii="Arial" w:hAnsi="Arial" w:eastAsia="Arial" w:cs="Arial"/>
      <w:szCs w:val="21"/>
      <w:lang w:eastAsia="en-US"/>
    </w:rPr>
  </w:style>
  <w:style w:type="paragraph" w:styleId="4">
    <w:name w:val="Body Text Indent"/>
    <w:basedOn w:val="1"/>
    <w:qFormat/>
    <w:uiPriority w:val="0"/>
    <w:pPr>
      <w:ind w:firstLine="660"/>
    </w:pPr>
    <w:rPr>
      <w:rFonts w:ascii="宋体" w:hAnsi="宋体"/>
      <w:color w:val="000000"/>
      <w:kern w:val="0"/>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toc 1"/>
    <w:basedOn w:val="1"/>
    <w:next w:val="1"/>
    <w:semiHidden/>
    <w:qFormat/>
    <w:uiPriority w:val="0"/>
  </w:style>
  <w:style w:type="paragraph" w:styleId="7">
    <w:name w:val="HTML Preformatted"/>
    <w:basedOn w:val="1"/>
    <w:unhideWhenUsed/>
    <w:qFormat/>
    <w:uiPriority w:val="99"/>
    <w:rPr>
      <w:rFonts w:ascii="Courier New" w:hAnsi="Courier New" w:cs="Courier New"/>
      <w:sz w:val="20"/>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Body Text First Indent 2"/>
    <w:basedOn w:val="4"/>
    <w:qFormat/>
    <w:uiPriority w:val="0"/>
    <w:pPr>
      <w:ind w:firstLine="420"/>
    </w:pPr>
  </w:style>
  <w:style w:type="character" w:styleId="12">
    <w:name w:val="page number"/>
    <w:qFormat/>
    <w:uiPriority w:val="0"/>
  </w:style>
  <w:style w:type="paragraph" w:customStyle="1" w:styleId="13">
    <w:name w:val="Table Text"/>
    <w:basedOn w:val="1"/>
    <w:semiHidden/>
    <w:qFormat/>
    <w:uiPriority w:val="0"/>
    <w:rPr>
      <w:rFonts w:ascii="仿宋" w:hAnsi="仿宋" w:eastAsia="仿宋" w:cs="仿宋"/>
      <w:sz w:val="22"/>
      <w:szCs w:val="22"/>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16">
    <w:name w:val="正文（缩进）"/>
    <w:basedOn w:val="1"/>
    <w:qFormat/>
    <w:uiPriority w:val="0"/>
    <w:pPr>
      <w:spacing w:line="594" w:lineRule="exact"/>
      <w:ind w:firstLine="482"/>
    </w:pPr>
    <w:rPr>
      <w:rFonts w:eastAsia="方正仿宋_GBK"/>
      <w:sz w:val="32"/>
    </w:rPr>
  </w:style>
  <w:style w:type="paragraph" w:customStyle="1" w:styleId="17">
    <w:name w:val="正文 A"/>
    <w:qFormat/>
    <w:uiPriority w:val="0"/>
    <w:pPr>
      <w:framePr w:wrap="around" w:vAnchor="margin" w:hAnchor="text" w:yAlign="top"/>
      <w:widowControl w:val="0"/>
      <w:jc w:val="both"/>
    </w:pPr>
    <w:rPr>
      <w:rFonts w:ascii="Arial Unicode MS" w:hAnsi="Arial Unicode MS" w:eastAsia="宋体" w:cs="Times New Roman"/>
      <w:color w:val="000000"/>
      <w:kern w:val="2"/>
      <w:sz w:val="21"/>
      <w:szCs w:val="21"/>
      <w:lang w:val="en-US" w:eastAsia="zh-CN" w:bidi="ar-SA"/>
    </w:rPr>
  </w:style>
  <w:style w:type="paragraph" w:customStyle="1" w:styleId="18">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5061</Words>
  <Characters>5157</Characters>
  <Lines>4</Lines>
  <Paragraphs>13</Paragraphs>
  <TotalTime>4</TotalTime>
  <ScaleCrop>false</ScaleCrop>
  <LinksUpToDate>false</LinksUpToDate>
  <CharactersWithSpaces>5169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2025-10-08T13:02:00Z</dcterms:created>
  <dc:creator>sophie</dc:creator>
  <cp:lastModifiedBy>小郝</cp:lastModifiedBy>
  <cp:lastPrinted>2026-03-02T08:07:09Z</cp:lastPrinted>
  <dcterms:modified xsi:type="dcterms:W3CDTF">2026-03-02T08:07:15Z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83CE5A44A3A84D4FA2A5297103A6B62E_13</vt:lpwstr>
  </property>
  <property fmtid="{D5CDD505-2E9C-101B-9397-08002B2CF9AE}" pid="4" name="KSOTemplateDocerSaveRecord">
    <vt:lpwstr>eyJoZGlkIjoiMzNlNmM3ODZkOTExNDIzNTFlMTgxOTdkZGY4N2E5MzMiLCJ1c2VySWQiOiIxMjE0OTc2NjU3In0=</vt:lpwstr>
  </property>
</Properties>
</file>